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399652" w14:textId="77777777" w:rsidR="00CD2764" w:rsidRDefault="00CD2764" w:rsidP="00CD2764">
      <w:pPr>
        <w:pStyle w:val="Heading1"/>
      </w:pPr>
      <w:bookmarkStart w:id="0" w:name="_Toc293391529"/>
      <w:r>
        <w:t>Bullying is a Common Experience</w:t>
      </w:r>
    </w:p>
    <w:p w14:paraId="3D48D0FC" w14:textId="77777777" w:rsidR="00CD2764" w:rsidRPr="00CD2764" w:rsidRDefault="00CD2764" w:rsidP="00CD2764">
      <w:r>
        <w:t>A recent</w:t>
      </w:r>
      <w:r w:rsidRPr="00CD2764">
        <w:t xml:space="preserve"> survey shows that half of Americans have experienced bullying personally or witnessed it. </w:t>
      </w:r>
    </w:p>
    <w:p w14:paraId="2D861D81" w14:textId="77777777" w:rsidR="00CD2764" w:rsidRDefault="00CD2764" w:rsidP="00CD2764">
      <w:pPr>
        <w:pStyle w:val="Heading1"/>
      </w:pPr>
      <w:r>
        <w:rPr>
          <w:noProof/>
        </w:rPr>
        <w:drawing>
          <wp:inline distT="0" distB="0" distL="0" distR="0" wp14:anchorId="46FF9A52" wp14:editId="56D003B8">
            <wp:extent cx="5486400" cy="3200400"/>
            <wp:effectExtent l="0" t="0" r="19050"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0D269C0F" w14:textId="77777777" w:rsidR="00CD2764" w:rsidRDefault="00CD2764" w:rsidP="00CD2764">
      <w:pPr>
        <w:pStyle w:val="Caption"/>
      </w:pPr>
      <w:bookmarkStart w:id="1" w:name="_Toc42077369"/>
      <w:r>
        <w:t xml:space="preserve">Figure </w:t>
      </w:r>
      <w:r>
        <w:fldChar w:fldCharType="begin"/>
      </w:r>
      <w:r>
        <w:instrText xml:space="preserve"> SEQ Figure \* ARABIC </w:instrText>
      </w:r>
      <w:r>
        <w:fldChar w:fldCharType="separate"/>
      </w:r>
      <w:r>
        <w:rPr>
          <w:noProof/>
        </w:rPr>
        <w:t>1</w:t>
      </w:r>
      <w:r>
        <w:fldChar w:fldCharType="end"/>
      </w:r>
      <w:r>
        <w:t xml:space="preserve">: Results from </w:t>
      </w:r>
      <w:r w:rsidRPr="00307D81">
        <w:t xml:space="preserve">Workplace Bullying Institute </w:t>
      </w:r>
      <w:r>
        <w:t>Survey</w:t>
      </w:r>
      <w:bookmarkEnd w:id="1"/>
    </w:p>
    <w:p w14:paraId="1D3D95C9" w14:textId="77777777" w:rsidR="00CD2764" w:rsidRDefault="00CD2764" w:rsidP="001D42B6">
      <w:pPr>
        <w:pStyle w:val="Heading1"/>
      </w:pPr>
    </w:p>
    <w:p w14:paraId="5EA80B8C" w14:textId="77777777" w:rsidR="00CD2764" w:rsidRDefault="00CD2764">
      <w:pPr>
        <w:spacing w:after="200" w:line="276" w:lineRule="auto"/>
        <w:rPr>
          <w:rFonts w:asciiTheme="majorHAnsi" w:eastAsiaTheme="majorEastAsia" w:hAnsiTheme="majorHAnsi" w:cstheme="majorBidi"/>
          <w:b/>
          <w:bCs/>
          <w:color w:val="61721F" w:themeColor="accent1" w:themeShade="BF"/>
          <w:sz w:val="28"/>
          <w:szCs w:val="28"/>
        </w:rPr>
      </w:pPr>
      <w:r>
        <w:br w:type="page"/>
      </w:r>
    </w:p>
    <w:p w14:paraId="6FCFD74B" w14:textId="77777777" w:rsidR="00D1348A" w:rsidRDefault="00D1348A" w:rsidP="001D42B6">
      <w:pPr>
        <w:pStyle w:val="Heading1"/>
      </w:pPr>
      <w:r>
        <w:lastRenderedPageBreak/>
        <w:t>Creating Anti-Bullying Policies</w:t>
      </w:r>
      <w:bookmarkEnd w:id="0"/>
    </w:p>
    <w:p w14:paraId="1383457F" w14:textId="77777777" w:rsidR="00D1348A" w:rsidRDefault="00D1348A" w:rsidP="00D1348A">
      <w:r>
        <w:t>One of the best ways to prevent bullying from occurring is by setting a clear policy, educating employees about it, and enforcing it. The policy needs to be written by a team of people (typically the Human Resources department), preferably with the input of staff at all levels and some legal advice. This group should also lay out education, follow-up, and monitoring guidelines to ensure that the policy is effective. Writing a policy will take time, resources, and effort, but the end result will be a document that outlines your company’s stance on bullying.</w:t>
      </w:r>
    </w:p>
    <w:p w14:paraId="2E0DC652" w14:textId="77777777" w:rsidR="00CD2764" w:rsidRDefault="00CD2764" w:rsidP="00D1348A"/>
    <w:p w14:paraId="617DFF92" w14:textId="77777777" w:rsidR="00D1348A" w:rsidRDefault="00D1348A" w:rsidP="001D42B6">
      <w:pPr>
        <w:pStyle w:val="Heading2"/>
      </w:pPr>
      <w:r>
        <w:t>Writing the Policy</w:t>
      </w:r>
    </w:p>
    <w:p w14:paraId="39C25E54" w14:textId="77777777" w:rsidR="00D1348A" w:rsidRDefault="00D1348A" w:rsidP="00D1348A">
      <w:r>
        <w:t>Your policy needs to have five essential elements.</w:t>
      </w:r>
    </w:p>
    <w:p w14:paraId="70A991A2" w14:textId="77777777" w:rsidR="00CD2764" w:rsidRDefault="00CD2764" w:rsidP="00D1348A"/>
    <w:p w14:paraId="3444DAE1" w14:textId="77777777" w:rsidR="00CD2764" w:rsidRDefault="00CD2764" w:rsidP="00CD2764">
      <w:pPr>
        <w:keepNext/>
      </w:pPr>
      <w:r>
        <w:rPr>
          <w:noProof/>
        </w:rPr>
        <w:drawing>
          <wp:inline distT="0" distB="0" distL="0" distR="0" wp14:anchorId="052B9213" wp14:editId="738F896A">
            <wp:extent cx="5486400" cy="320040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508DBA49" w14:textId="77777777" w:rsidR="00CD2764" w:rsidRDefault="00CD2764" w:rsidP="00CD2764">
      <w:pPr>
        <w:pStyle w:val="Caption"/>
      </w:pPr>
      <w:bookmarkStart w:id="2" w:name="_Toc42077370"/>
      <w:r>
        <w:t xml:space="preserve">Figure </w:t>
      </w:r>
      <w:r>
        <w:fldChar w:fldCharType="begin"/>
      </w:r>
      <w:r>
        <w:instrText xml:space="preserve"> SEQ Figure \* ARABIC </w:instrText>
      </w:r>
      <w:r>
        <w:fldChar w:fldCharType="separate"/>
      </w:r>
      <w:r>
        <w:rPr>
          <w:noProof/>
        </w:rPr>
        <w:t>2</w:t>
      </w:r>
      <w:r>
        <w:fldChar w:fldCharType="end"/>
      </w:r>
      <w:r>
        <w:t>: The essential elements.</w:t>
      </w:r>
      <w:bookmarkEnd w:id="2"/>
    </w:p>
    <w:p w14:paraId="68306679" w14:textId="77777777" w:rsidR="00D1348A" w:rsidRDefault="00D1348A" w:rsidP="00D1348A"/>
    <w:p w14:paraId="23D815A3" w14:textId="77777777" w:rsidR="00CD2764" w:rsidRDefault="00CD2764">
      <w:pPr>
        <w:spacing w:after="200" w:line="276" w:lineRule="auto"/>
        <w:rPr>
          <w:b/>
          <w:bCs/>
          <w:szCs w:val="24"/>
        </w:rPr>
      </w:pPr>
      <w:r>
        <w:br w:type="page"/>
      </w:r>
    </w:p>
    <w:p w14:paraId="33C2D459" w14:textId="77777777" w:rsidR="00CD2764" w:rsidRPr="00CD2764" w:rsidRDefault="00CD2764" w:rsidP="00CD2764">
      <w:pPr>
        <w:pStyle w:val="Heading2"/>
      </w:pPr>
      <w:r w:rsidRPr="00CD2764">
        <w:t>Looking at the Elements</w:t>
      </w:r>
    </w:p>
    <w:p w14:paraId="545934C5" w14:textId="77777777" w:rsidR="00D1348A" w:rsidRDefault="00D1348A" w:rsidP="00D1348A">
      <w:pPr>
        <w:pStyle w:val="ImportantPoint"/>
      </w:pPr>
      <w:r>
        <w:t xml:space="preserve">The rules. </w:t>
      </w:r>
    </w:p>
    <w:p w14:paraId="7D4A4C9E" w14:textId="77777777" w:rsidR="00D1348A" w:rsidRDefault="00D1348A" w:rsidP="00D1348A">
      <w:r>
        <w:t>State clearly that bullying is not acceptable in the workplace and will be dealt with. Then, state what the rules are in the company. Make sure that these rules are in line with the laws in your area.</w:t>
      </w:r>
    </w:p>
    <w:p w14:paraId="266A4E8C" w14:textId="77777777" w:rsidR="00D1348A" w:rsidRDefault="00D1348A" w:rsidP="00D1348A"/>
    <w:p w14:paraId="57542228" w14:textId="77777777" w:rsidR="00D1348A" w:rsidRDefault="00D1348A" w:rsidP="00D1348A">
      <w:pPr>
        <w:pStyle w:val="ImportantPoint"/>
      </w:pPr>
      <w:r>
        <w:t>Specific behaviors, examples, and circumstances.</w:t>
      </w:r>
    </w:p>
    <w:p w14:paraId="51AF3571" w14:textId="77777777" w:rsidR="00D1348A" w:rsidRDefault="00D1348A" w:rsidP="00D1348A">
      <w:r>
        <w:t>The document should spell out what behaviors are and are not acceptable. Providing specific examples that are relevant to the workplace will help guide employees’ behavior. (For example, saying that yelling is always a bullying behavior might be an issue if employees work on a loud factory floor.)</w:t>
      </w:r>
    </w:p>
    <w:p w14:paraId="49A212E2" w14:textId="77777777" w:rsidR="00D1348A" w:rsidRDefault="00D1348A" w:rsidP="00D1348A"/>
    <w:p w14:paraId="69BB31FB" w14:textId="77777777" w:rsidR="00D1348A" w:rsidRDefault="00D1348A" w:rsidP="00D1348A">
      <w:pPr>
        <w:pStyle w:val="ImportantPoint"/>
      </w:pPr>
      <w:r>
        <w:t>Safe from reprisal.</w:t>
      </w:r>
    </w:p>
    <w:p w14:paraId="4D7947C5" w14:textId="77777777" w:rsidR="00D1348A" w:rsidRDefault="00D1348A" w:rsidP="00D1348A">
      <w:r>
        <w:t>Make sure the policy clearly states that no one will be acted against for bringing a claim to the employer’s attention or attesting to details within that claim.</w:t>
      </w:r>
    </w:p>
    <w:p w14:paraId="40C32563" w14:textId="77777777" w:rsidR="00D1348A" w:rsidRDefault="00D1348A" w:rsidP="00D1348A"/>
    <w:p w14:paraId="197E121F" w14:textId="77777777" w:rsidR="00D1348A" w:rsidRDefault="00D1348A" w:rsidP="00D1348A">
      <w:pPr>
        <w:pStyle w:val="ImportantPoint"/>
      </w:pPr>
      <w:r>
        <w:t>The consequences.</w:t>
      </w:r>
    </w:p>
    <w:p w14:paraId="1489E9DC" w14:textId="77777777" w:rsidR="00D1348A" w:rsidRDefault="00D1348A" w:rsidP="00D1348A">
      <w:r>
        <w:t>Make sure you include the possible solutions and consequences for a bullying incident, including what disciplinary action may be taken. Also include consequences for false claims.</w:t>
      </w:r>
    </w:p>
    <w:p w14:paraId="09DD520D" w14:textId="77777777" w:rsidR="00D1348A" w:rsidRDefault="00D1348A" w:rsidP="00D1348A"/>
    <w:p w14:paraId="0AA167E3" w14:textId="77777777" w:rsidR="00D1348A" w:rsidRDefault="00D1348A" w:rsidP="00D1348A">
      <w:pPr>
        <w:pStyle w:val="ImportantPoint"/>
      </w:pPr>
      <w:r>
        <w:t>A complainant’s rights.</w:t>
      </w:r>
    </w:p>
    <w:p w14:paraId="6D1B148D" w14:textId="4B571B82" w:rsidR="00D1348A" w:rsidRDefault="00D1348A" w:rsidP="00D1348A">
      <w:r>
        <w:t>Make sure victims know what will happen if they file a complaint and what rights they have, including confidentiality, privacy, and the right to a fair hearing. They should also know their avenues of complaint: the union, internal Human Resources department, appropriate government department, police, or the legal system.</w:t>
      </w:r>
      <w:r w:rsidR="00E8645F" w:rsidRPr="00E8645F">
        <w:rPr>
          <w:szCs w:val="22"/>
        </w:rPr>
        <w:t xml:space="preserve"> </w:t>
      </w:r>
      <w:r w:rsidR="00E8645F">
        <w:rPr>
          <w:szCs w:val="22"/>
        </w:rPr>
        <w:t>Myers vs. Southside Shipping</w:t>
      </w:r>
      <w:r w:rsidR="00CC0216">
        <w:rPr>
          <w:szCs w:val="22"/>
        </w:rPr>
        <w:t>, 8Adj</w:t>
      </w:r>
      <w:r w:rsidR="00E8645F">
        <w:rPr>
          <w:szCs w:val="22"/>
        </w:rPr>
        <w:t>.</w:t>
      </w:r>
      <w:r w:rsidR="00CC0216">
        <w:rPr>
          <w:szCs w:val="22"/>
        </w:rPr>
        <w:t xml:space="preserve"> 1d768(1999)</w:t>
      </w:r>
      <w:r w:rsidR="00947778">
        <w:rPr>
          <w:szCs w:val="22"/>
        </w:rPr>
        <w:fldChar w:fldCharType="begin"/>
      </w:r>
      <w:r w:rsidR="00947778">
        <w:instrText xml:space="preserve"> TA \l "</w:instrText>
      </w:r>
      <w:r w:rsidR="00947778" w:rsidRPr="00467CAF">
        <w:rPr>
          <w:szCs w:val="22"/>
        </w:rPr>
        <w:instrText>Myers vs. Southside Shipping, 8Adj. 1d768(1999)</w:instrText>
      </w:r>
      <w:r w:rsidR="00947778">
        <w:instrText xml:space="preserve">" \s "Myers vs. Southside Shipping, 8Adj. 1d768(1999)" \c 1 </w:instrText>
      </w:r>
      <w:r w:rsidR="00947778">
        <w:rPr>
          <w:szCs w:val="22"/>
        </w:rPr>
        <w:fldChar w:fldCharType="end"/>
      </w:r>
      <w:r w:rsidR="00B93BAC">
        <w:rPr>
          <w:szCs w:val="22"/>
        </w:rPr>
        <w:t>.</w:t>
      </w:r>
    </w:p>
    <w:p w14:paraId="42F0620E" w14:textId="77777777" w:rsidR="00D1348A" w:rsidRDefault="00D1348A" w:rsidP="00D1348A"/>
    <w:p w14:paraId="1AEE7E3E" w14:textId="77777777" w:rsidR="00D1348A" w:rsidRDefault="00D1348A" w:rsidP="001D42B6">
      <w:pPr>
        <w:pStyle w:val="Heading2"/>
      </w:pPr>
      <w:r>
        <w:t>Educating Staff</w:t>
      </w:r>
    </w:p>
    <w:p w14:paraId="4A6DCB1E" w14:textId="77777777" w:rsidR="00D1348A" w:rsidRDefault="00D1348A" w:rsidP="00D1348A">
      <w:r>
        <w:t>After the policy</w:t>
      </w:r>
      <w:r w:rsidRPr="002B60A9">
        <w:t xml:space="preserve"> </w:t>
      </w:r>
      <w:r>
        <w:t>has been written, Human Resources (or the immediate supervisor) must go over it with all staff. You need to go beyond stuffing a copy of the policy in the employee mailboxes and hope they read it; have an HR member sit down with a small group and go over every word in the policy. When new employees are hired, make sure that they receive the same education. All employees should receive this education again when changes are made to the policy.</w:t>
      </w:r>
    </w:p>
    <w:p w14:paraId="71161962" w14:textId="77777777" w:rsidR="00D1348A" w:rsidRDefault="00D1348A" w:rsidP="00D1348A"/>
    <w:p w14:paraId="77D8BC7C" w14:textId="77777777" w:rsidR="00D1348A" w:rsidRDefault="00D1348A" w:rsidP="00D1348A">
      <w:r>
        <w:t>In addition, make sure you distribute the policy at least once a year. If changes are made, you will want to do a sit-down review as suggested above. If no changes are made, include the policy in a newsletter or some other official communication.</w:t>
      </w:r>
    </w:p>
    <w:p w14:paraId="50C3D2DD" w14:textId="77777777" w:rsidR="001D42B6" w:rsidRDefault="001D42B6">
      <w:pPr>
        <w:spacing w:after="200" w:line="276" w:lineRule="auto"/>
        <w:rPr>
          <w:rFonts w:asciiTheme="majorHAnsi" w:eastAsiaTheme="majorEastAsia" w:hAnsiTheme="majorHAnsi" w:cstheme="majorBidi"/>
          <w:b/>
          <w:bCs/>
          <w:color w:val="83992A" w:themeColor="accent1"/>
          <w:sz w:val="26"/>
          <w:szCs w:val="26"/>
        </w:rPr>
      </w:pPr>
      <w:bookmarkStart w:id="3" w:name="_Toc293391530"/>
      <w:r>
        <w:br w:type="page"/>
      </w:r>
    </w:p>
    <w:p w14:paraId="037D3ED5" w14:textId="77777777" w:rsidR="00D1348A" w:rsidRDefault="00D1348A" w:rsidP="001D42B6">
      <w:pPr>
        <w:pStyle w:val="Heading1"/>
      </w:pPr>
      <w:r>
        <w:t>Implementing and Enforcing Anti-Bullying Policies</w:t>
      </w:r>
      <w:bookmarkEnd w:id="3"/>
    </w:p>
    <w:p w14:paraId="76E01CFC" w14:textId="77777777" w:rsidR="00D1348A" w:rsidRDefault="00D1348A" w:rsidP="00D1348A">
      <w:r>
        <w:t>We’ve all been in workplace situations where a policy is put into place and then forgotten about. Here are some things that will help your anti-bullying policy stick.</w:t>
      </w:r>
    </w:p>
    <w:p w14:paraId="0EC4E4D0" w14:textId="77777777" w:rsidR="00D1348A" w:rsidRDefault="00D1348A" w:rsidP="00D1348A"/>
    <w:p w14:paraId="328ABD61" w14:textId="77777777" w:rsidR="00D1348A" w:rsidRDefault="00D1348A" w:rsidP="00D1348A">
      <w:pPr>
        <w:pStyle w:val="ImportantPoint"/>
      </w:pPr>
      <w:r>
        <w:t>Lead from the top down.</w:t>
      </w:r>
    </w:p>
    <w:p w14:paraId="0F900676" w14:textId="77777777" w:rsidR="00D1348A" w:rsidRDefault="00D1348A" w:rsidP="00D1348A">
      <w:r>
        <w:t>The executive team is your most important supporter in the movement, and should be employees’ biggest advocate and protector against bullies.</w:t>
      </w:r>
    </w:p>
    <w:p w14:paraId="235496A4" w14:textId="77777777" w:rsidR="00D1348A" w:rsidRDefault="00CD2764" w:rsidP="00D1348A">
      <w:r>
        <w:rPr>
          <w:noProof/>
        </w:rPr>
        <mc:AlternateContent>
          <mc:Choice Requires="wps">
            <w:drawing>
              <wp:anchor distT="0" distB="0" distL="114300" distR="114300" simplePos="0" relativeHeight="251660288" behindDoc="0" locked="0" layoutInCell="1" allowOverlap="1" wp14:anchorId="64978F48" wp14:editId="2560AD07">
                <wp:simplePos x="0" y="0"/>
                <wp:positionH relativeFrom="column">
                  <wp:posOffset>4382135</wp:posOffset>
                </wp:positionH>
                <wp:positionV relativeFrom="paragraph">
                  <wp:posOffset>3053080</wp:posOffset>
                </wp:positionV>
                <wp:extent cx="1501140" cy="635"/>
                <wp:effectExtent l="0" t="0" r="0" b="0"/>
                <wp:wrapThrough wrapText="bothSides">
                  <wp:wrapPolygon edited="0">
                    <wp:start x="0" y="0"/>
                    <wp:lineTo x="0" y="21600"/>
                    <wp:lineTo x="21600" y="21600"/>
                    <wp:lineTo x="21600" y="0"/>
                  </wp:wrapPolygon>
                </wp:wrapThrough>
                <wp:docPr id="3" name="Text Box 3"/>
                <wp:cNvGraphicFramePr/>
                <a:graphic xmlns:a="http://schemas.openxmlformats.org/drawingml/2006/main">
                  <a:graphicData uri="http://schemas.microsoft.com/office/word/2010/wordprocessingShape">
                    <wps:wsp>
                      <wps:cNvSpPr txBox="1"/>
                      <wps:spPr>
                        <a:xfrm>
                          <a:off x="0" y="0"/>
                          <a:ext cx="1501140" cy="635"/>
                        </a:xfrm>
                        <a:prstGeom prst="rect">
                          <a:avLst/>
                        </a:prstGeom>
                        <a:solidFill>
                          <a:prstClr val="white"/>
                        </a:solidFill>
                        <a:ln>
                          <a:noFill/>
                        </a:ln>
                        <a:effectLst/>
                      </wps:spPr>
                      <wps:txbx>
                        <w:txbxContent>
                          <w:p w14:paraId="38D88232" w14:textId="77777777" w:rsidR="00CD2764" w:rsidRPr="00381964" w:rsidRDefault="00CD2764" w:rsidP="00CD2764">
                            <w:pPr>
                              <w:pStyle w:val="Caption"/>
                              <w:rPr>
                                <w:noProof/>
                                <w:sz w:val="24"/>
                                <w:szCs w:val="20"/>
                              </w:rPr>
                            </w:pPr>
                            <w:bookmarkStart w:id="4" w:name="_Toc42077371"/>
                            <w:r>
                              <w:t xml:space="preserve">Figure </w:t>
                            </w:r>
                            <w:r>
                              <w:fldChar w:fldCharType="begin"/>
                            </w:r>
                            <w:r>
                              <w:instrText xml:space="preserve"> SEQ Figure \* ARABIC </w:instrText>
                            </w:r>
                            <w:r>
                              <w:fldChar w:fldCharType="separate"/>
                            </w:r>
                            <w:r>
                              <w:rPr>
                                <w:noProof/>
                              </w:rPr>
                              <w:t>3</w:t>
                            </w:r>
                            <w:r>
                              <w:fldChar w:fldCharType="end"/>
                            </w:r>
                            <w:r>
                              <w:t xml:space="preserve">: </w:t>
                            </w:r>
                            <w:r w:rsidRPr="00770E49">
                              <w:t>The anti-bullying movement should start from the top and flow downward (just as bullying does).</w:t>
                            </w:r>
                            <w:bookmarkEnd w:id="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4978F48" id="_x0000_t202" coordsize="21600,21600" o:spt="202" path="m,l,21600r21600,l21600,xe">
                <v:stroke joinstyle="miter"/>
                <v:path gradientshapeok="t" o:connecttype="rect"/>
              </v:shapetype>
              <v:shape id="Text Box 3" o:spid="_x0000_s1026" type="#_x0000_t202" style="position:absolute;margin-left:345.05pt;margin-top:240.4pt;width:118.2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" stroked="f">
                <v:textbox style="mso-fit-shape-to-text:t" inset="0,0,0,0">
                  <w:txbxContent>
                    <w:p w14:paraId="38D88232" w14:textId="77777777" w:rsidR="00CD2764" w:rsidRPr="00381964" w:rsidRDefault="00CD2764" w:rsidP="00CD2764">
                      <w:pPr>
                        <w:pStyle w:val="Caption"/>
                        <w:rPr>
                          <w:noProof/>
                          <w:sz w:val="24"/>
                          <w:szCs w:val="20"/>
                        </w:rPr>
                      </w:pPr>
                      <w:bookmarkStart w:id="5" w:name="_Toc42077371"/>
                      <w:r>
                        <w:t xml:space="preserve">Figure </w:t>
                      </w:r>
                      <w:r>
                        <w:fldChar w:fldCharType="begin"/>
                      </w:r>
                      <w:r>
                        <w:instrText xml:space="preserve"> SEQ Figure \* ARABIC </w:instrText>
                      </w:r>
                      <w:r>
                        <w:fldChar w:fldCharType="separate"/>
                      </w:r>
                      <w:r>
                        <w:rPr>
                          <w:noProof/>
                        </w:rPr>
                        <w:t>3</w:t>
                      </w:r>
                      <w:r>
                        <w:fldChar w:fldCharType="end"/>
                      </w:r>
                      <w:r>
                        <w:t xml:space="preserve">: </w:t>
                      </w:r>
                      <w:r w:rsidRPr="00770E49">
                        <w:t>The anti-bullying movement should start from the top and flow downward (just as bullying does).</w:t>
                      </w:r>
                      <w:bookmarkEnd w:id="5"/>
                    </w:p>
                  </w:txbxContent>
                </v:textbox>
                <w10:wrap type="through"/>
              </v:shape>
            </w:pict>
          </mc:Fallback>
        </mc:AlternateContent>
      </w:r>
      <w:r>
        <w:rPr>
          <w:noProof/>
        </w:rPr>
        <w:drawing>
          <wp:anchor distT="0" distB="0" distL="114300" distR="114300" simplePos="0" relativeHeight="251658240" behindDoc="1" locked="0" layoutInCell="1" allowOverlap="1" wp14:anchorId="08DAA04A" wp14:editId="4643F9F2">
            <wp:simplePos x="0" y="0"/>
            <wp:positionH relativeFrom="column">
              <wp:posOffset>4382135</wp:posOffset>
            </wp:positionH>
            <wp:positionV relativeFrom="paragraph">
              <wp:posOffset>91440</wp:posOffset>
            </wp:positionV>
            <wp:extent cx="1501140" cy="2904490"/>
            <wp:effectExtent l="0" t="0" r="3810" b="0"/>
            <wp:wrapThrough wrapText="bothSides">
              <wp:wrapPolygon edited="0">
                <wp:start x="0" y="0"/>
                <wp:lineTo x="0" y="21392"/>
                <wp:lineTo x="21381" y="21392"/>
                <wp:lineTo x="21381" y="0"/>
                <wp:lineTo x="0" y="0"/>
              </wp:wrapPolygon>
            </wp:wrapThrough>
            <wp:docPr id="2" name="Picture 2" descr="C:\Users\Windows User\AppData\Local\Microsoft\Windows\Temporary Internet Files\Content.Word\Poin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 User\AppData\Local\Microsoft\Windows\Temporary Internet Files\Content.Word\Pointing.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01140" cy="2904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23C6C6" w14:textId="77777777" w:rsidR="00D1348A" w:rsidRDefault="00D1348A" w:rsidP="00D1348A">
      <w:pPr>
        <w:pStyle w:val="ImportantPoint"/>
      </w:pPr>
      <w:r>
        <w:t xml:space="preserve">Lead by example. </w:t>
      </w:r>
    </w:p>
    <w:p w14:paraId="1A8D98C9" w14:textId="77777777" w:rsidR="00D1348A" w:rsidRPr="00BF3C1E" w:rsidRDefault="00D1348A" w:rsidP="00D1348A">
      <w:r>
        <w:t>Your bullying movement won’t have much force if your CEO is a temperamental person who likes to slam doors, throw things, and berate staff.</w:t>
      </w:r>
    </w:p>
    <w:p w14:paraId="452B1E6D" w14:textId="77777777" w:rsidR="00D1348A" w:rsidRDefault="00D1348A" w:rsidP="00D1348A"/>
    <w:p w14:paraId="223B1969" w14:textId="77777777" w:rsidR="00D1348A" w:rsidRDefault="00D1348A" w:rsidP="00D1348A">
      <w:pPr>
        <w:pStyle w:val="ImportantPoint"/>
      </w:pPr>
      <w:r>
        <w:t>Be proactive.</w:t>
      </w:r>
    </w:p>
    <w:p w14:paraId="504A9481" w14:textId="77777777" w:rsidR="00D1348A" w:rsidRPr="00BF3C1E" w:rsidRDefault="00D1348A" w:rsidP="00D1348A">
      <w:r w:rsidRPr="00BF3C1E">
        <w:t xml:space="preserve">Encourage </w:t>
      </w:r>
      <w:r>
        <w:t xml:space="preserve">managers </w:t>
      </w:r>
      <w:r w:rsidRPr="00BF3C1E">
        <w:t xml:space="preserve">to </w:t>
      </w:r>
      <w:r>
        <w:t>be hands-on and interactive with their teams. Educate them about the roots of bullying and how to stop it before it starts.</w:t>
      </w:r>
    </w:p>
    <w:p w14:paraId="582FFE04" w14:textId="77777777" w:rsidR="00D1348A" w:rsidRDefault="00D1348A" w:rsidP="00D1348A">
      <w:pPr>
        <w:pStyle w:val="ImportantPoint"/>
      </w:pPr>
    </w:p>
    <w:p w14:paraId="4430C189" w14:textId="77777777" w:rsidR="00D1348A" w:rsidRDefault="00D1348A" w:rsidP="00D1348A">
      <w:pPr>
        <w:pStyle w:val="ImportantPoint"/>
      </w:pPr>
      <w:r>
        <w:t>Be clear and consistent.</w:t>
      </w:r>
    </w:p>
    <w:p w14:paraId="1D7D75B2" w14:textId="77777777" w:rsidR="00D1348A" w:rsidRPr="00BF3C1E" w:rsidRDefault="00D1348A" w:rsidP="00D1348A">
      <w:r>
        <w:t>As mentioned previously, be specific in what constitutes bullying. Then, be sure that the rules are applied constantly and consistently. Bullies will often back down if they know that someone is watching them.</w:t>
      </w:r>
    </w:p>
    <w:p w14:paraId="7118E7BB" w14:textId="77777777" w:rsidR="00D1348A" w:rsidRDefault="00D1348A" w:rsidP="00D1348A"/>
    <w:p w14:paraId="637EE85E" w14:textId="77777777" w:rsidR="00D1348A" w:rsidRDefault="00D1348A" w:rsidP="00D1348A">
      <w:pPr>
        <w:pStyle w:val="ImportantPoint"/>
      </w:pPr>
      <w:r>
        <w:t>Say it loud.</w:t>
      </w:r>
    </w:p>
    <w:p w14:paraId="16A54CAC" w14:textId="77777777" w:rsidR="00D1348A" w:rsidRDefault="00D1348A" w:rsidP="00D1348A">
      <w:r>
        <w:t>Ensure that all employees (executive team included) read and sign the anti-bullying policy. When addressing complaints, physically pull out a copy of the policy and refer to it during discussions with employees.</w:t>
      </w:r>
    </w:p>
    <w:p w14:paraId="5E7B12E3" w14:textId="77777777" w:rsidR="00D1348A" w:rsidRDefault="00D1348A" w:rsidP="00D1348A"/>
    <w:p w14:paraId="32907558" w14:textId="77777777" w:rsidR="00D1348A" w:rsidRPr="00BF3C1E" w:rsidRDefault="00D1348A" w:rsidP="00D1348A">
      <w:r>
        <w:t>It is also a good idea to post the policy in a public location and to require that anyone who interacts with the organization (including suppliers and clients) abides by it.</w:t>
      </w:r>
    </w:p>
    <w:p w14:paraId="6AF27381" w14:textId="77777777" w:rsidR="00D1348A" w:rsidRDefault="00D1348A" w:rsidP="00D1348A"/>
    <w:p w14:paraId="72460117" w14:textId="77777777" w:rsidR="00D1348A" w:rsidRPr="008E71F0" w:rsidRDefault="00D1348A" w:rsidP="00D1348A">
      <w:pPr>
        <w:pStyle w:val="ImportantPoint"/>
      </w:pPr>
      <w:r>
        <w:t>Give people the tools to fight.</w:t>
      </w:r>
    </w:p>
    <w:p w14:paraId="02A4B87C" w14:textId="09F0FF48" w:rsidR="00D1348A" w:rsidRPr="000F3415" w:rsidRDefault="00D1348A" w:rsidP="00D1348A">
      <w:r>
        <w:t>Train employees about what bullying looks like, what they can do, and what the employer will do for them if they are bullied. Traditionally, employers have been more hurtful than helpful when addressing bullying issues; we would like to see that change.</w:t>
      </w:r>
      <w:r w:rsidR="00E8645F">
        <w:t xml:space="preserve"> Chan v. Levi Strauss Inc, 27 Adj. (1998)</w:t>
      </w:r>
      <w:r w:rsidR="00947778">
        <w:fldChar w:fldCharType="begin"/>
      </w:r>
      <w:r w:rsidR="00947778">
        <w:instrText xml:space="preserve"> TA \l "</w:instrText>
      </w:r>
      <w:r w:rsidR="00947778" w:rsidRPr="00C65FAF">
        <w:instrText>Chan v. Levi Strauss Inc, 27 Adj. (1998)</w:instrText>
      </w:r>
      <w:r w:rsidR="00947778">
        <w:instrText xml:space="preserve">" \s "Chan v. Levi Strauss Inc, 27 Adj. (1998)" \c 1 </w:instrText>
      </w:r>
      <w:r w:rsidR="00947778">
        <w:fldChar w:fldCharType="end"/>
      </w:r>
      <w:r w:rsidR="00E8645F">
        <w:t>.</w:t>
      </w:r>
    </w:p>
    <w:p w14:paraId="04461A88" w14:textId="77777777" w:rsidR="00CD2764" w:rsidRDefault="00CD2764">
      <w:pPr>
        <w:spacing w:after="200" w:line="276" w:lineRule="auto"/>
      </w:pPr>
      <w:r>
        <w:br w:type="page"/>
      </w:r>
    </w:p>
    <w:p w14:paraId="107490B4" w14:textId="77777777" w:rsidR="009A4697" w:rsidRDefault="008C1A97" w:rsidP="008C1A97">
      <w:pPr>
        <w:pStyle w:val="Heading1"/>
      </w:pPr>
      <w:r>
        <w:t>Table of Figures</w:t>
      </w:r>
    </w:p>
    <w:p w14:paraId="62E003D3" w14:textId="74129BD8" w:rsidR="008C1A97" w:rsidRDefault="008C1A97" w:rsidP="008C1A97"/>
    <w:p w14:paraId="0B7664D3" w14:textId="2301C795" w:rsidR="00163D07" w:rsidRDefault="00163D07">
      <w:pPr>
        <w:pStyle w:val="TableofFigures"/>
        <w:tabs>
          <w:tab w:val="right" w:pos="9350"/>
        </w:tabs>
        <w:rPr>
          <w:rFonts w:eastAsiaTheme="minorEastAsia" w:cstheme="minorBidi"/>
          <w:caps w:val="0"/>
          <w:noProof/>
          <w:sz w:val="22"/>
          <w:szCs w:val="22"/>
        </w:rPr>
      </w:pPr>
      <w:r>
        <w:fldChar w:fldCharType="begin"/>
      </w:r>
      <w:r>
        <w:instrText xml:space="preserve"> TOC \h \z \c "Figure" </w:instrText>
      </w:r>
      <w:r>
        <w:fldChar w:fldCharType="separate"/>
      </w:r>
      <w:hyperlink w:anchor="_Toc42077369" w:history="1">
        <w:r w:rsidRPr="00126569">
          <w:rPr>
            <w:rStyle w:val="Hyperlink"/>
            <w:noProof/>
          </w:rPr>
          <w:t>Figure 1: Results from Workplace Bullying Institute Survey</w:t>
        </w:r>
        <w:r>
          <w:rPr>
            <w:noProof/>
            <w:webHidden/>
          </w:rPr>
          <w:tab/>
        </w:r>
        <w:r>
          <w:rPr>
            <w:noProof/>
            <w:webHidden/>
          </w:rPr>
          <w:fldChar w:fldCharType="begin"/>
        </w:r>
        <w:r>
          <w:rPr>
            <w:noProof/>
            <w:webHidden/>
          </w:rPr>
          <w:instrText xml:space="preserve"> PAGEREF _Toc42077369 \h </w:instrText>
        </w:r>
        <w:r>
          <w:rPr>
            <w:noProof/>
            <w:webHidden/>
          </w:rPr>
        </w:r>
        <w:r>
          <w:rPr>
            <w:noProof/>
            <w:webHidden/>
          </w:rPr>
          <w:fldChar w:fldCharType="separate"/>
        </w:r>
        <w:r>
          <w:rPr>
            <w:noProof/>
            <w:webHidden/>
          </w:rPr>
          <w:t>1</w:t>
        </w:r>
        <w:r>
          <w:rPr>
            <w:noProof/>
            <w:webHidden/>
          </w:rPr>
          <w:fldChar w:fldCharType="end"/>
        </w:r>
      </w:hyperlink>
    </w:p>
    <w:p w14:paraId="5806B82F" w14:textId="106E1A4A" w:rsidR="00163D07" w:rsidRDefault="00163D07">
      <w:pPr>
        <w:pStyle w:val="TableofFigures"/>
        <w:tabs>
          <w:tab w:val="right" w:pos="9350"/>
        </w:tabs>
        <w:rPr>
          <w:rFonts w:eastAsiaTheme="minorEastAsia" w:cstheme="minorBidi"/>
          <w:caps w:val="0"/>
          <w:noProof/>
          <w:sz w:val="22"/>
          <w:szCs w:val="22"/>
        </w:rPr>
      </w:pPr>
      <w:hyperlink w:anchor="_Toc42077370" w:history="1">
        <w:r w:rsidRPr="00126569">
          <w:rPr>
            <w:rStyle w:val="Hyperlink"/>
            <w:noProof/>
          </w:rPr>
          <w:t>Figure 2: The essential elements.</w:t>
        </w:r>
        <w:r>
          <w:rPr>
            <w:noProof/>
            <w:webHidden/>
          </w:rPr>
          <w:tab/>
        </w:r>
        <w:r>
          <w:rPr>
            <w:noProof/>
            <w:webHidden/>
          </w:rPr>
          <w:fldChar w:fldCharType="begin"/>
        </w:r>
        <w:r>
          <w:rPr>
            <w:noProof/>
            <w:webHidden/>
          </w:rPr>
          <w:instrText xml:space="preserve"> PAGEREF _Toc42077370 \h </w:instrText>
        </w:r>
        <w:r>
          <w:rPr>
            <w:noProof/>
            <w:webHidden/>
          </w:rPr>
        </w:r>
        <w:r>
          <w:rPr>
            <w:noProof/>
            <w:webHidden/>
          </w:rPr>
          <w:fldChar w:fldCharType="separate"/>
        </w:r>
        <w:r>
          <w:rPr>
            <w:noProof/>
            <w:webHidden/>
          </w:rPr>
          <w:t>2</w:t>
        </w:r>
        <w:r>
          <w:rPr>
            <w:noProof/>
            <w:webHidden/>
          </w:rPr>
          <w:fldChar w:fldCharType="end"/>
        </w:r>
      </w:hyperlink>
    </w:p>
    <w:p w14:paraId="14D4D27F" w14:textId="42A5C2D6" w:rsidR="00163D07" w:rsidRDefault="00163D07">
      <w:pPr>
        <w:pStyle w:val="TableofFigures"/>
        <w:tabs>
          <w:tab w:val="right" w:pos="9350"/>
        </w:tabs>
        <w:rPr>
          <w:rFonts w:eastAsiaTheme="minorEastAsia" w:cstheme="minorBidi"/>
          <w:caps w:val="0"/>
          <w:noProof/>
          <w:sz w:val="22"/>
          <w:szCs w:val="22"/>
        </w:rPr>
      </w:pPr>
      <w:hyperlink r:id="rId12" w:anchor="_Toc42077371" w:history="1">
        <w:r w:rsidRPr="00126569">
          <w:rPr>
            <w:rStyle w:val="Hyperlink"/>
            <w:noProof/>
          </w:rPr>
          <w:t>Figure 3: The anti-bullying movement should start from the top and flow downward (just as bullying does).</w:t>
        </w:r>
        <w:r>
          <w:rPr>
            <w:noProof/>
            <w:webHidden/>
          </w:rPr>
          <w:tab/>
        </w:r>
        <w:r>
          <w:rPr>
            <w:noProof/>
            <w:webHidden/>
          </w:rPr>
          <w:fldChar w:fldCharType="begin"/>
        </w:r>
        <w:r>
          <w:rPr>
            <w:noProof/>
            <w:webHidden/>
          </w:rPr>
          <w:instrText xml:space="preserve"> PAGEREF _Toc42077371 \h </w:instrText>
        </w:r>
        <w:r>
          <w:rPr>
            <w:noProof/>
            <w:webHidden/>
          </w:rPr>
        </w:r>
        <w:r>
          <w:rPr>
            <w:noProof/>
            <w:webHidden/>
          </w:rPr>
          <w:fldChar w:fldCharType="separate"/>
        </w:r>
        <w:r>
          <w:rPr>
            <w:noProof/>
            <w:webHidden/>
          </w:rPr>
          <w:t>4</w:t>
        </w:r>
        <w:r>
          <w:rPr>
            <w:noProof/>
            <w:webHidden/>
          </w:rPr>
          <w:fldChar w:fldCharType="end"/>
        </w:r>
      </w:hyperlink>
    </w:p>
    <w:p w14:paraId="08F19FE3" w14:textId="7B6794E1" w:rsidR="00163D07" w:rsidRDefault="00163D07" w:rsidP="008C1A97">
      <w:r>
        <w:fldChar w:fldCharType="end"/>
      </w:r>
    </w:p>
    <w:p w14:paraId="4FC78455" w14:textId="342C8FD0" w:rsidR="00E85B2C" w:rsidRDefault="00E85B2C" w:rsidP="008C1A97"/>
    <w:p w14:paraId="2C95FDB9" w14:textId="58FB3F0D" w:rsidR="00E85B2C" w:rsidRDefault="00E85B2C" w:rsidP="00E85B2C">
      <w:pPr>
        <w:pStyle w:val="Heading1"/>
      </w:pPr>
      <w:r>
        <w:t>Table of Authorities</w:t>
      </w:r>
    </w:p>
    <w:p w14:paraId="2CFFFDC4" w14:textId="77777777" w:rsidR="00AC138E" w:rsidRDefault="00AC138E">
      <w:pPr>
        <w:pStyle w:val="TOAHeading"/>
        <w:tabs>
          <w:tab w:val="right" w:leader="dot" w:pos="9350"/>
        </w:tabs>
        <w:rPr>
          <w:rFonts w:eastAsiaTheme="minorEastAsia" w:cstheme="minorBidi"/>
          <w:b w:val="0"/>
          <w:bCs w:val="0"/>
          <w:noProof/>
          <w:sz w:val="22"/>
          <w:szCs w:val="22"/>
        </w:rPr>
      </w:pPr>
      <w:r>
        <w:fldChar w:fldCharType="begin"/>
      </w:r>
      <w:r>
        <w:instrText xml:space="preserve"> TOA \h \c "1" \p </w:instrText>
      </w:r>
      <w:r>
        <w:fldChar w:fldCharType="separate"/>
      </w:r>
      <w:r>
        <w:rPr>
          <w:noProof/>
        </w:rPr>
        <w:t>Cases</w:t>
      </w:r>
    </w:p>
    <w:p w14:paraId="73B724E3" w14:textId="77777777" w:rsidR="00AC138E" w:rsidRDefault="00AC138E">
      <w:pPr>
        <w:pStyle w:val="TableofAuthorities"/>
        <w:tabs>
          <w:tab w:val="right" w:leader="dot" w:pos="9350"/>
        </w:tabs>
        <w:rPr>
          <w:noProof/>
        </w:rPr>
      </w:pPr>
      <w:r>
        <w:rPr>
          <w:noProof/>
        </w:rPr>
        <w:t>Chan v. Levi Strauss Inc, 27 Adj. (1998)</w:t>
      </w:r>
      <w:r>
        <w:rPr>
          <w:noProof/>
        </w:rPr>
        <w:tab/>
        <w:t>4</w:t>
      </w:r>
    </w:p>
    <w:p w14:paraId="540F0CC1" w14:textId="77777777" w:rsidR="00AC138E" w:rsidRDefault="00AC138E">
      <w:pPr>
        <w:pStyle w:val="TableofAuthorities"/>
        <w:tabs>
          <w:tab w:val="right" w:leader="dot" w:pos="9350"/>
        </w:tabs>
        <w:rPr>
          <w:noProof/>
        </w:rPr>
      </w:pPr>
      <w:r>
        <w:rPr>
          <w:noProof/>
        </w:rPr>
        <w:t>Myers vs. Southside Shipping, 8Adj. 1d768(1999)</w:t>
      </w:r>
      <w:r>
        <w:rPr>
          <w:noProof/>
        </w:rPr>
        <w:tab/>
        <w:t>3</w:t>
      </w:r>
    </w:p>
    <w:p w14:paraId="39AEBB10" w14:textId="60691E5B" w:rsidR="00E85B2C" w:rsidRPr="00E85B2C" w:rsidRDefault="00AC138E" w:rsidP="00E85B2C">
      <w:r>
        <w:fldChar w:fldCharType="end"/>
      </w:r>
    </w:p>
    <w:sectPr w:rsidR="00E85B2C" w:rsidRPr="00E85B2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48A"/>
    <w:rsid w:val="000076EA"/>
    <w:rsid w:val="0007748D"/>
    <w:rsid w:val="000C023F"/>
    <w:rsid w:val="00163D07"/>
    <w:rsid w:val="001D42B6"/>
    <w:rsid w:val="0028484A"/>
    <w:rsid w:val="008C1A97"/>
    <w:rsid w:val="00947778"/>
    <w:rsid w:val="009A4697"/>
    <w:rsid w:val="00A6484D"/>
    <w:rsid w:val="00AC138E"/>
    <w:rsid w:val="00AC4A7D"/>
    <w:rsid w:val="00B93BAC"/>
    <w:rsid w:val="00CC0216"/>
    <w:rsid w:val="00CD2764"/>
    <w:rsid w:val="00D1348A"/>
    <w:rsid w:val="00E82C0C"/>
    <w:rsid w:val="00E85B2C"/>
    <w:rsid w:val="00E8645F"/>
    <w:rsid w:val="00FE1A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54671"/>
  <w15:docId w15:val="{2DFDBEFE-8442-4D61-9F74-6A4BDFE2C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1348A"/>
    <w:pPr>
      <w:spacing w:after="0" w:line="240" w:lineRule="auto"/>
    </w:pPr>
    <w:rPr>
      <w:rFonts w:ascii="Calibri" w:eastAsia="Times New Roman" w:hAnsi="Calibri" w:cs="Times New Roman"/>
      <w:sz w:val="24"/>
      <w:szCs w:val="20"/>
      <w:lang w:val="en-US"/>
    </w:rPr>
  </w:style>
  <w:style w:type="paragraph" w:styleId="Heading1">
    <w:name w:val="heading 1"/>
    <w:basedOn w:val="Normal"/>
    <w:next w:val="Normal"/>
    <w:link w:val="Heading1Char"/>
    <w:uiPriority w:val="9"/>
    <w:qFormat/>
    <w:rsid w:val="0007748D"/>
    <w:pPr>
      <w:keepNext/>
      <w:keepLines/>
      <w:spacing w:before="480"/>
      <w:outlineLvl w:val="0"/>
    </w:pPr>
    <w:rPr>
      <w:rFonts w:asciiTheme="majorHAnsi" w:eastAsiaTheme="majorEastAsia" w:hAnsiTheme="majorHAnsi" w:cstheme="majorBidi"/>
      <w:b/>
      <w:bCs/>
      <w:color w:val="61721F" w:themeColor="accent1" w:themeShade="BF"/>
      <w:sz w:val="28"/>
      <w:szCs w:val="28"/>
    </w:rPr>
  </w:style>
  <w:style w:type="paragraph" w:styleId="Heading2">
    <w:name w:val="heading 2"/>
    <w:basedOn w:val="Normal"/>
    <w:next w:val="Normal"/>
    <w:link w:val="Heading2Char"/>
    <w:uiPriority w:val="9"/>
    <w:unhideWhenUsed/>
    <w:qFormat/>
    <w:rsid w:val="0007748D"/>
    <w:pPr>
      <w:keepNext/>
      <w:keepLines/>
      <w:spacing w:before="200"/>
      <w:outlineLvl w:val="1"/>
    </w:pPr>
    <w:rPr>
      <w:rFonts w:asciiTheme="majorHAnsi" w:eastAsiaTheme="majorEastAsia" w:hAnsiTheme="majorHAnsi" w:cstheme="majorBidi"/>
      <w:b/>
      <w:bCs/>
      <w:color w:val="83992A" w:themeColor="accent1"/>
      <w:sz w:val="26"/>
      <w:szCs w:val="26"/>
    </w:rPr>
  </w:style>
  <w:style w:type="paragraph" w:styleId="Heading3">
    <w:name w:val="heading 3"/>
    <w:basedOn w:val="Normal"/>
    <w:next w:val="Normal"/>
    <w:link w:val="Heading3Char"/>
    <w:uiPriority w:val="9"/>
    <w:unhideWhenUsed/>
    <w:qFormat/>
    <w:rsid w:val="0007748D"/>
    <w:pPr>
      <w:keepNext/>
      <w:keepLines/>
      <w:spacing w:before="200"/>
      <w:outlineLvl w:val="2"/>
    </w:pPr>
    <w:rPr>
      <w:rFonts w:asciiTheme="majorHAnsi" w:eastAsiaTheme="majorEastAsia" w:hAnsiTheme="majorHAnsi" w:cstheme="majorBidi"/>
      <w:b/>
      <w:bCs/>
      <w:color w:val="83992A" w:themeColor="accent1"/>
    </w:rPr>
  </w:style>
  <w:style w:type="paragraph" w:styleId="Heading4">
    <w:name w:val="heading 4"/>
    <w:basedOn w:val="Normal"/>
    <w:next w:val="Normal"/>
    <w:link w:val="Heading4Char"/>
    <w:uiPriority w:val="9"/>
    <w:semiHidden/>
    <w:unhideWhenUsed/>
    <w:qFormat/>
    <w:rsid w:val="0007748D"/>
    <w:pPr>
      <w:keepNext/>
      <w:keepLines/>
      <w:spacing w:before="200"/>
      <w:outlineLvl w:val="3"/>
    </w:pPr>
    <w:rPr>
      <w:rFonts w:asciiTheme="majorHAnsi" w:eastAsiaTheme="majorEastAsia" w:hAnsiTheme="majorHAnsi" w:cstheme="majorBidi"/>
      <w:b/>
      <w:bCs/>
      <w:i/>
      <w:iCs/>
      <w:color w:val="83992A" w:themeColor="accent1"/>
    </w:rPr>
  </w:style>
  <w:style w:type="paragraph" w:styleId="Heading5">
    <w:name w:val="heading 5"/>
    <w:basedOn w:val="Normal"/>
    <w:next w:val="Normal"/>
    <w:link w:val="Heading5Char"/>
    <w:uiPriority w:val="9"/>
    <w:semiHidden/>
    <w:unhideWhenUsed/>
    <w:qFormat/>
    <w:rsid w:val="0007748D"/>
    <w:pPr>
      <w:keepNext/>
      <w:keepLines/>
      <w:spacing w:before="200"/>
      <w:outlineLvl w:val="4"/>
    </w:pPr>
    <w:rPr>
      <w:rFonts w:asciiTheme="majorHAnsi" w:eastAsiaTheme="majorEastAsia" w:hAnsiTheme="majorHAnsi" w:cstheme="majorBidi"/>
      <w:color w:val="414C15" w:themeColor="accent1" w:themeShade="7F"/>
    </w:rPr>
  </w:style>
  <w:style w:type="paragraph" w:styleId="Heading6">
    <w:name w:val="heading 6"/>
    <w:basedOn w:val="Normal"/>
    <w:next w:val="Normal"/>
    <w:link w:val="Heading6Char"/>
    <w:uiPriority w:val="9"/>
    <w:semiHidden/>
    <w:unhideWhenUsed/>
    <w:qFormat/>
    <w:rsid w:val="0007748D"/>
    <w:pPr>
      <w:keepNext/>
      <w:keepLines/>
      <w:spacing w:before="200"/>
      <w:outlineLvl w:val="5"/>
    </w:pPr>
    <w:rPr>
      <w:rFonts w:asciiTheme="majorHAnsi" w:eastAsiaTheme="majorEastAsia" w:hAnsiTheme="majorHAnsi" w:cstheme="majorBidi"/>
      <w:i/>
      <w:iCs/>
      <w:color w:val="414C15" w:themeColor="accent1" w:themeShade="7F"/>
    </w:rPr>
  </w:style>
  <w:style w:type="paragraph" w:styleId="Heading7">
    <w:name w:val="heading 7"/>
    <w:basedOn w:val="Normal"/>
    <w:next w:val="Normal"/>
    <w:link w:val="Heading7Char"/>
    <w:uiPriority w:val="9"/>
    <w:semiHidden/>
    <w:unhideWhenUsed/>
    <w:qFormat/>
    <w:rsid w:val="0007748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748D"/>
    <w:pPr>
      <w:keepNext/>
      <w:keepLines/>
      <w:spacing w:before="200"/>
      <w:outlineLvl w:val="7"/>
    </w:pPr>
    <w:rPr>
      <w:rFonts w:asciiTheme="majorHAnsi" w:eastAsiaTheme="majorEastAsia" w:hAnsiTheme="majorHAnsi" w:cstheme="majorBidi"/>
      <w:color w:val="83992A" w:themeColor="accent1"/>
      <w:sz w:val="20"/>
    </w:rPr>
  </w:style>
  <w:style w:type="paragraph" w:styleId="Heading9">
    <w:name w:val="heading 9"/>
    <w:basedOn w:val="Normal"/>
    <w:next w:val="Normal"/>
    <w:link w:val="Heading9Char"/>
    <w:uiPriority w:val="9"/>
    <w:semiHidden/>
    <w:unhideWhenUsed/>
    <w:qFormat/>
    <w:rsid w:val="0007748D"/>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2764"/>
    <w:rPr>
      <w:rFonts w:ascii="Tahoma" w:hAnsi="Tahoma" w:cs="Tahoma"/>
      <w:sz w:val="16"/>
      <w:szCs w:val="16"/>
    </w:rPr>
  </w:style>
  <w:style w:type="character" w:customStyle="1" w:styleId="BalloonTextChar">
    <w:name w:val="Balloon Text Char"/>
    <w:basedOn w:val="DefaultParagraphFont"/>
    <w:link w:val="BalloonText"/>
    <w:uiPriority w:val="99"/>
    <w:semiHidden/>
    <w:rsid w:val="00CD2764"/>
    <w:rPr>
      <w:rFonts w:ascii="Tahoma" w:eastAsia="Times New Roman" w:hAnsi="Tahoma" w:cs="Tahoma"/>
      <w:sz w:val="16"/>
      <w:szCs w:val="16"/>
      <w:lang w:val="en-US"/>
    </w:rPr>
  </w:style>
  <w:style w:type="paragraph" w:styleId="Title">
    <w:name w:val="Title"/>
    <w:basedOn w:val="Normal"/>
    <w:next w:val="Normal"/>
    <w:link w:val="TitleChar"/>
    <w:uiPriority w:val="10"/>
    <w:qFormat/>
    <w:rsid w:val="001D42B6"/>
    <w:pPr>
      <w:pBdr>
        <w:bottom w:val="single" w:sz="8" w:space="4" w:color="83992A" w:themeColor="accent1"/>
      </w:pBdr>
      <w:spacing w:after="300"/>
      <w:contextualSpacing/>
    </w:pPr>
    <w:rPr>
      <w:rFonts w:asciiTheme="majorHAnsi" w:eastAsiaTheme="majorEastAsia" w:hAnsiTheme="majorHAnsi" w:cstheme="majorBidi"/>
      <w:color w:val="181818" w:themeColor="text2" w:themeShade="BF"/>
      <w:spacing w:val="5"/>
      <w:kern w:val="28"/>
      <w:sz w:val="52"/>
      <w:szCs w:val="52"/>
    </w:rPr>
  </w:style>
  <w:style w:type="character" w:customStyle="1" w:styleId="TitleChar">
    <w:name w:val="Title Char"/>
    <w:basedOn w:val="DefaultParagraphFont"/>
    <w:link w:val="Title"/>
    <w:uiPriority w:val="10"/>
    <w:rsid w:val="001D42B6"/>
    <w:rPr>
      <w:rFonts w:asciiTheme="majorHAnsi" w:eastAsiaTheme="majorEastAsia" w:hAnsiTheme="majorHAnsi" w:cstheme="majorBidi"/>
      <w:color w:val="181818" w:themeColor="text2" w:themeShade="BF"/>
      <w:spacing w:val="5"/>
      <w:kern w:val="28"/>
      <w:sz w:val="52"/>
      <w:szCs w:val="52"/>
      <w:lang w:val="en-US"/>
    </w:rPr>
  </w:style>
  <w:style w:type="paragraph" w:customStyle="1" w:styleId="ImportantPoint">
    <w:name w:val="Important Point"/>
    <w:basedOn w:val="Normal"/>
    <w:link w:val="ImportantPointChar"/>
    <w:qFormat/>
    <w:rsid w:val="00FE1A18"/>
    <w:rPr>
      <w:b/>
      <w:bCs/>
      <w:szCs w:val="24"/>
    </w:rPr>
  </w:style>
  <w:style w:type="character" w:customStyle="1" w:styleId="ImportantPointChar">
    <w:name w:val="Important Point Char"/>
    <w:link w:val="ImportantPoint"/>
    <w:rsid w:val="00FE1A18"/>
    <w:rPr>
      <w:rFonts w:ascii="Calibri" w:eastAsia="Times New Roman" w:hAnsi="Calibri" w:cs="Times New Roman"/>
      <w:b/>
      <w:bCs/>
      <w:sz w:val="24"/>
      <w:szCs w:val="24"/>
      <w:lang w:val="en-US"/>
    </w:rPr>
  </w:style>
  <w:style w:type="character" w:customStyle="1" w:styleId="Heading1Char">
    <w:name w:val="Heading 1 Char"/>
    <w:basedOn w:val="DefaultParagraphFont"/>
    <w:link w:val="Heading1"/>
    <w:uiPriority w:val="9"/>
    <w:rsid w:val="0007748D"/>
    <w:rPr>
      <w:rFonts w:asciiTheme="majorHAnsi" w:eastAsiaTheme="majorEastAsia" w:hAnsiTheme="majorHAnsi" w:cstheme="majorBidi"/>
      <w:b/>
      <w:bCs/>
      <w:color w:val="61721F" w:themeColor="accent1" w:themeShade="BF"/>
      <w:sz w:val="28"/>
      <w:szCs w:val="28"/>
    </w:rPr>
  </w:style>
  <w:style w:type="character" w:customStyle="1" w:styleId="Heading2Char">
    <w:name w:val="Heading 2 Char"/>
    <w:basedOn w:val="DefaultParagraphFont"/>
    <w:link w:val="Heading2"/>
    <w:uiPriority w:val="9"/>
    <w:rsid w:val="0007748D"/>
    <w:rPr>
      <w:rFonts w:asciiTheme="majorHAnsi" w:eastAsiaTheme="majorEastAsia" w:hAnsiTheme="majorHAnsi" w:cstheme="majorBidi"/>
      <w:b/>
      <w:bCs/>
      <w:color w:val="83992A" w:themeColor="accent1"/>
      <w:sz w:val="26"/>
      <w:szCs w:val="26"/>
    </w:rPr>
  </w:style>
  <w:style w:type="character" w:customStyle="1" w:styleId="Heading3Char">
    <w:name w:val="Heading 3 Char"/>
    <w:basedOn w:val="DefaultParagraphFont"/>
    <w:link w:val="Heading3"/>
    <w:uiPriority w:val="9"/>
    <w:rsid w:val="0007748D"/>
    <w:rPr>
      <w:rFonts w:asciiTheme="majorHAnsi" w:eastAsiaTheme="majorEastAsia" w:hAnsiTheme="majorHAnsi" w:cstheme="majorBidi"/>
      <w:b/>
      <w:bCs/>
      <w:color w:val="83992A" w:themeColor="accent1"/>
    </w:rPr>
  </w:style>
  <w:style w:type="character" w:customStyle="1" w:styleId="Heading4Char">
    <w:name w:val="Heading 4 Char"/>
    <w:basedOn w:val="DefaultParagraphFont"/>
    <w:link w:val="Heading4"/>
    <w:uiPriority w:val="9"/>
    <w:semiHidden/>
    <w:rsid w:val="0007748D"/>
    <w:rPr>
      <w:rFonts w:asciiTheme="majorHAnsi" w:eastAsiaTheme="majorEastAsia" w:hAnsiTheme="majorHAnsi" w:cstheme="majorBidi"/>
      <w:b/>
      <w:bCs/>
      <w:i/>
      <w:iCs/>
      <w:color w:val="83992A" w:themeColor="accent1"/>
    </w:rPr>
  </w:style>
  <w:style w:type="character" w:customStyle="1" w:styleId="Heading5Char">
    <w:name w:val="Heading 5 Char"/>
    <w:basedOn w:val="DefaultParagraphFont"/>
    <w:link w:val="Heading5"/>
    <w:uiPriority w:val="9"/>
    <w:semiHidden/>
    <w:rsid w:val="0007748D"/>
    <w:rPr>
      <w:rFonts w:asciiTheme="majorHAnsi" w:eastAsiaTheme="majorEastAsia" w:hAnsiTheme="majorHAnsi" w:cstheme="majorBidi"/>
      <w:color w:val="414C15" w:themeColor="accent1" w:themeShade="7F"/>
    </w:rPr>
  </w:style>
  <w:style w:type="character" w:customStyle="1" w:styleId="Heading6Char">
    <w:name w:val="Heading 6 Char"/>
    <w:basedOn w:val="DefaultParagraphFont"/>
    <w:link w:val="Heading6"/>
    <w:uiPriority w:val="9"/>
    <w:semiHidden/>
    <w:rsid w:val="0007748D"/>
    <w:rPr>
      <w:rFonts w:asciiTheme="majorHAnsi" w:eastAsiaTheme="majorEastAsia" w:hAnsiTheme="majorHAnsi" w:cstheme="majorBidi"/>
      <w:i/>
      <w:iCs/>
      <w:color w:val="414C15" w:themeColor="accent1" w:themeShade="7F"/>
    </w:rPr>
  </w:style>
  <w:style w:type="character" w:customStyle="1" w:styleId="Heading7Char">
    <w:name w:val="Heading 7 Char"/>
    <w:basedOn w:val="DefaultParagraphFont"/>
    <w:link w:val="Heading7"/>
    <w:uiPriority w:val="9"/>
    <w:semiHidden/>
    <w:rsid w:val="0007748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7748D"/>
    <w:rPr>
      <w:rFonts w:asciiTheme="majorHAnsi" w:eastAsiaTheme="majorEastAsia" w:hAnsiTheme="majorHAnsi" w:cstheme="majorBidi"/>
      <w:color w:val="83992A" w:themeColor="accent1"/>
      <w:sz w:val="20"/>
      <w:szCs w:val="20"/>
    </w:rPr>
  </w:style>
  <w:style w:type="character" w:customStyle="1" w:styleId="Heading9Char">
    <w:name w:val="Heading 9 Char"/>
    <w:basedOn w:val="DefaultParagraphFont"/>
    <w:link w:val="Heading9"/>
    <w:uiPriority w:val="9"/>
    <w:semiHidden/>
    <w:rsid w:val="0007748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07748D"/>
    <w:rPr>
      <w:b/>
      <w:bCs/>
      <w:color w:val="83992A" w:themeColor="accent1"/>
      <w:sz w:val="18"/>
      <w:szCs w:val="18"/>
    </w:rPr>
  </w:style>
  <w:style w:type="paragraph" w:styleId="Subtitle">
    <w:name w:val="Subtitle"/>
    <w:basedOn w:val="Normal"/>
    <w:next w:val="Normal"/>
    <w:link w:val="SubtitleChar"/>
    <w:uiPriority w:val="11"/>
    <w:qFormat/>
    <w:rsid w:val="0007748D"/>
    <w:pPr>
      <w:numPr>
        <w:ilvl w:val="1"/>
      </w:numPr>
    </w:pPr>
    <w:rPr>
      <w:rFonts w:asciiTheme="majorHAnsi" w:eastAsiaTheme="majorEastAsia" w:hAnsiTheme="majorHAnsi" w:cstheme="majorBidi"/>
      <w:i/>
      <w:iCs/>
      <w:color w:val="83992A" w:themeColor="accent1"/>
      <w:spacing w:val="15"/>
      <w:szCs w:val="24"/>
    </w:rPr>
  </w:style>
  <w:style w:type="character" w:customStyle="1" w:styleId="SubtitleChar">
    <w:name w:val="Subtitle Char"/>
    <w:basedOn w:val="DefaultParagraphFont"/>
    <w:link w:val="Subtitle"/>
    <w:uiPriority w:val="11"/>
    <w:rsid w:val="0007748D"/>
    <w:rPr>
      <w:rFonts w:asciiTheme="majorHAnsi" w:eastAsiaTheme="majorEastAsia" w:hAnsiTheme="majorHAnsi" w:cstheme="majorBidi"/>
      <w:i/>
      <w:iCs/>
      <w:color w:val="83992A" w:themeColor="accent1"/>
      <w:spacing w:val="15"/>
      <w:sz w:val="24"/>
      <w:szCs w:val="24"/>
    </w:rPr>
  </w:style>
  <w:style w:type="character" w:styleId="Strong">
    <w:name w:val="Strong"/>
    <w:basedOn w:val="DefaultParagraphFont"/>
    <w:uiPriority w:val="22"/>
    <w:qFormat/>
    <w:rsid w:val="0007748D"/>
    <w:rPr>
      <w:b/>
      <w:bCs/>
    </w:rPr>
  </w:style>
  <w:style w:type="character" w:styleId="Emphasis">
    <w:name w:val="Emphasis"/>
    <w:basedOn w:val="DefaultParagraphFont"/>
    <w:uiPriority w:val="20"/>
    <w:qFormat/>
    <w:rsid w:val="0007748D"/>
    <w:rPr>
      <w:i/>
      <w:iCs/>
    </w:rPr>
  </w:style>
  <w:style w:type="paragraph" w:styleId="NoSpacing">
    <w:name w:val="No Spacing"/>
    <w:link w:val="NoSpacingChar"/>
    <w:uiPriority w:val="1"/>
    <w:qFormat/>
    <w:rsid w:val="0007748D"/>
    <w:pPr>
      <w:spacing w:after="0" w:line="240" w:lineRule="auto"/>
    </w:pPr>
  </w:style>
  <w:style w:type="paragraph" w:styleId="ListParagraph">
    <w:name w:val="List Paragraph"/>
    <w:basedOn w:val="Normal"/>
    <w:uiPriority w:val="34"/>
    <w:qFormat/>
    <w:rsid w:val="0007748D"/>
    <w:pPr>
      <w:ind w:left="720"/>
      <w:contextualSpacing/>
    </w:pPr>
  </w:style>
  <w:style w:type="paragraph" w:styleId="Quote">
    <w:name w:val="Quote"/>
    <w:basedOn w:val="Normal"/>
    <w:next w:val="Normal"/>
    <w:link w:val="QuoteChar"/>
    <w:uiPriority w:val="29"/>
    <w:qFormat/>
    <w:rsid w:val="0007748D"/>
    <w:rPr>
      <w:i/>
      <w:iCs/>
      <w:color w:val="000000" w:themeColor="text1"/>
    </w:rPr>
  </w:style>
  <w:style w:type="character" w:customStyle="1" w:styleId="QuoteChar">
    <w:name w:val="Quote Char"/>
    <w:basedOn w:val="DefaultParagraphFont"/>
    <w:link w:val="Quote"/>
    <w:uiPriority w:val="29"/>
    <w:rsid w:val="0007748D"/>
    <w:rPr>
      <w:i/>
      <w:iCs/>
      <w:color w:val="000000" w:themeColor="text1"/>
    </w:rPr>
  </w:style>
  <w:style w:type="paragraph" w:styleId="IntenseQuote">
    <w:name w:val="Intense Quote"/>
    <w:basedOn w:val="Normal"/>
    <w:next w:val="Normal"/>
    <w:link w:val="IntenseQuoteChar"/>
    <w:uiPriority w:val="30"/>
    <w:qFormat/>
    <w:rsid w:val="0007748D"/>
    <w:pPr>
      <w:pBdr>
        <w:bottom w:val="single" w:sz="4" w:space="4" w:color="83992A" w:themeColor="accent1"/>
      </w:pBdr>
      <w:spacing w:before="200" w:after="280"/>
      <w:ind w:left="936" w:right="936"/>
    </w:pPr>
    <w:rPr>
      <w:b/>
      <w:bCs/>
      <w:i/>
      <w:iCs/>
      <w:color w:val="83992A" w:themeColor="accent1"/>
    </w:rPr>
  </w:style>
  <w:style w:type="character" w:customStyle="1" w:styleId="IntenseQuoteChar">
    <w:name w:val="Intense Quote Char"/>
    <w:basedOn w:val="DefaultParagraphFont"/>
    <w:link w:val="IntenseQuote"/>
    <w:uiPriority w:val="30"/>
    <w:rsid w:val="0007748D"/>
    <w:rPr>
      <w:b/>
      <w:bCs/>
      <w:i/>
      <w:iCs/>
      <w:color w:val="83992A" w:themeColor="accent1"/>
    </w:rPr>
  </w:style>
  <w:style w:type="character" w:styleId="SubtleEmphasis">
    <w:name w:val="Subtle Emphasis"/>
    <w:basedOn w:val="DefaultParagraphFont"/>
    <w:uiPriority w:val="19"/>
    <w:qFormat/>
    <w:rsid w:val="0007748D"/>
    <w:rPr>
      <w:i/>
      <w:iCs/>
      <w:color w:val="808080" w:themeColor="text1" w:themeTint="7F"/>
    </w:rPr>
  </w:style>
  <w:style w:type="character" w:styleId="IntenseEmphasis">
    <w:name w:val="Intense Emphasis"/>
    <w:basedOn w:val="DefaultParagraphFont"/>
    <w:uiPriority w:val="21"/>
    <w:qFormat/>
    <w:rsid w:val="0007748D"/>
    <w:rPr>
      <w:b/>
      <w:bCs/>
      <w:i/>
      <w:iCs/>
      <w:color w:val="83992A" w:themeColor="accent1"/>
    </w:rPr>
  </w:style>
  <w:style w:type="character" w:styleId="SubtleReference">
    <w:name w:val="Subtle Reference"/>
    <w:basedOn w:val="DefaultParagraphFont"/>
    <w:uiPriority w:val="31"/>
    <w:qFormat/>
    <w:rsid w:val="0007748D"/>
    <w:rPr>
      <w:smallCaps/>
      <w:color w:val="3C9770" w:themeColor="accent2"/>
      <w:u w:val="single"/>
    </w:rPr>
  </w:style>
  <w:style w:type="character" w:styleId="IntenseReference">
    <w:name w:val="Intense Reference"/>
    <w:basedOn w:val="DefaultParagraphFont"/>
    <w:uiPriority w:val="32"/>
    <w:qFormat/>
    <w:rsid w:val="0007748D"/>
    <w:rPr>
      <w:b/>
      <w:bCs/>
      <w:smallCaps/>
      <w:color w:val="3C9770" w:themeColor="accent2"/>
      <w:spacing w:val="5"/>
      <w:u w:val="single"/>
    </w:rPr>
  </w:style>
  <w:style w:type="character" w:styleId="BookTitle">
    <w:name w:val="Book Title"/>
    <w:basedOn w:val="DefaultParagraphFont"/>
    <w:uiPriority w:val="33"/>
    <w:qFormat/>
    <w:rsid w:val="0007748D"/>
    <w:rPr>
      <w:b/>
      <w:bCs/>
      <w:smallCaps/>
      <w:spacing w:val="5"/>
    </w:rPr>
  </w:style>
  <w:style w:type="paragraph" w:styleId="TOCHeading">
    <w:name w:val="TOC Heading"/>
    <w:basedOn w:val="Heading1"/>
    <w:next w:val="Normal"/>
    <w:uiPriority w:val="39"/>
    <w:semiHidden/>
    <w:unhideWhenUsed/>
    <w:qFormat/>
    <w:rsid w:val="0007748D"/>
    <w:pPr>
      <w:outlineLvl w:val="9"/>
    </w:pPr>
  </w:style>
  <w:style w:type="character" w:customStyle="1" w:styleId="NoSpacingChar">
    <w:name w:val="No Spacing Char"/>
    <w:basedOn w:val="DefaultParagraphFont"/>
    <w:link w:val="NoSpacing"/>
    <w:uiPriority w:val="1"/>
    <w:rsid w:val="0007748D"/>
  </w:style>
  <w:style w:type="paragraph" w:styleId="TableofFigures">
    <w:name w:val="table of figures"/>
    <w:basedOn w:val="Normal"/>
    <w:next w:val="Normal"/>
    <w:uiPriority w:val="99"/>
    <w:unhideWhenUsed/>
    <w:rsid w:val="008C1A97"/>
    <w:pPr>
      <w:ind w:left="480" w:hanging="480"/>
    </w:pPr>
    <w:rPr>
      <w:rFonts w:asciiTheme="minorHAnsi" w:hAnsiTheme="minorHAnsi"/>
      <w:caps/>
      <w:sz w:val="20"/>
    </w:rPr>
  </w:style>
  <w:style w:type="character" w:styleId="Hyperlink">
    <w:name w:val="Hyperlink"/>
    <w:basedOn w:val="DefaultParagraphFont"/>
    <w:uiPriority w:val="99"/>
    <w:unhideWhenUsed/>
    <w:rsid w:val="008C1A97"/>
    <w:rPr>
      <w:color w:val="A8BF4D" w:themeColor="hyperlink"/>
      <w:u w:val="single"/>
    </w:rPr>
  </w:style>
  <w:style w:type="paragraph" w:styleId="TableofAuthorities">
    <w:name w:val="table of authorities"/>
    <w:basedOn w:val="Normal"/>
    <w:next w:val="Normal"/>
    <w:uiPriority w:val="99"/>
    <w:unhideWhenUsed/>
    <w:rsid w:val="00AC138E"/>
    <w:pPr>
      <w:ind w:left="240" w:hanging="240"/>
    </w:pPr>
    <w:rPr>
      <w:rFonts w:asciiTheme="minorHAnsi" w:hAnsiTheme="minorHAnsi"/>
      <w:sz w:val="20"/>
    </w:rPr>
  </w:style>
  <w:style w:type="paragraph" w:styleId="TOAHeading">
    <w:name w:val="toa heading"/>
    <w:basedOn w:val="Normal"/>
    <w:next w:val="Normal"/>
    <w:uiPriority w:val="99"/>
    <w:unhideWhenUsed/>
    <w:rsid w:val="00AC138E"/>
    <w:pPr>
      <w:spacing w:before="240" w:after="120"/>
    </w:pPr>
    <w:rPr>
      <w:rFonts w:asciiTheme="minorHAnsi" w:hAnsiTheme="minorHAnsi" w:cs="Arial"/>
      <w:b/>
      <w:bCs/>
      <w:cap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799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hyperlink" Target="file:///C:\Users\Jan\Documents\_Desktop_March%202020\2_Courseware\branches_Feb1\MOS6012_Word%20365_Part%203\MOS5012_Word_2016_3\MOS5012_Word_2016_3_ExerciseFiles\Starting%20Files%20for%20Activities\Lesson%203\Activity%203-4.docx"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image" Target="media/image1.jpeg"/><Relationship Id="rId5" Type="http://schemas.openxmlformats.org/officeDocument/2006/relationships/chart" Target="charts/chart1.xml"/><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Percentage</c:v>
                </c:pt>
              </c:strCache>
            </c:strRef>
          </c:tx>
          <c:explosion val="25"/>
          <c:cat>
            <c:strRef>
              <c:f>Sheet1!$A$2:$A$6</c:f>
              <c:strCache>
                <c:ptCount val="5"/>
                <c:pt idx="0">
                  <c:v>No Experience</c:v>
                </c:pt>
                <c:pt idx="1">
                  <c:v>Been Bullied and Witnessed</c:v>
                </c:pt>
                <c:pt idx="2">
                  <c:v>Witnessed Only</c:v>
                </c:pt>
                <c:pt idx="3">
                  <c:v>Been Bullied Only</c:v>
                </c:pt>
                <c:pt idx="4">
                  <c:v>Been a Bully (Perpetrator)</c:v>
                </c:pt>
              </c:strCache>
            </c:strRef>
          </c:cat>
          <c:val>
            <c:numRef>
              <c:f>Sheet1!$B$2:$B$6</c:f>
              <c:numCache>
                <c:formatCode>General</c:formatCode>
                <c:ptCount val="5"/>
                <c:pt idx="0">
                  <c:v>50</c:v>
                </c:pt>
                <c:pt idx="1">
                  <c:v>27</c:v>
                </c:pt>
                <c:pt idx="2">
                  <c:v>15</c:v>
                </c:pt>
                <c:pt idx="3">
                  <c:v>7</c:v>
                </c:pt>
                <c:pt idx="4">
                  <c:v>0.3</c:v>
                </c:pt>
              </c:numCache>
            </c:numRef>
          </c:val>
          <c:extLst>
            <c:ext xmlns:c16="http://schemas.microsoft.com/office/drawing/2014/chart" uri="{C3380CC4-5D6E-409C-BE32-E72D297353CC}">
              <c16:uniqueId val="{00000000-ECCA-4C1C-919E-4E1242CC6C4D}"/>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4112E59-E3B2-4AC2-835B-5B7F4152FFE6}" type="doc">
      <dgm:prSet loTypeId="urn:microsoft.com/office/officeart/2008/layout/VerticalCurvedList" loCatId="list" qsTypeId="urn:microsoft.com/office/officeart/2005/8/quickstyle/simple1" qsCatId="simple" csTypeId="urn:microsoft.com/office/officeart/2005/8/colors/colorful2" csCatId="colorful" phldr="1"/>
      <dgm:spPr/>
      <dgm:t>
        <a:bodyPr/>
        <a:lstStyle/>
        <a:p>
          <a:endParaRPr lang="en-US"/>
        </a:p>
      </dgm:t>
    </dgm:pt>
    <dgm:pt modelId="{AE0AAC00-6D90-4455-BF92-D24C3DD7AC0D}">
      <dgm:prSet phldrT="[Text]"/>
      <dgm:spPr/>
      <dgm:t>
        <a:bodyPr/>
        <a:lstStyle/>
        <a:p>
          <a:r>
            <a:rPr lang="en-US" b="1"/>
            <a:t>The rules. </a:t>
          </a:r>
          <a:endParaRPr lang="en-US"/>
        </a:p>
      </dgm:t>
    </dgm:pt>
    <dgm:pt modelId="{E3EFB079-6F2A-421B-A731-B842584FA9A7}" type="parTrans" cxnId="{59324656-F154-4477-A7AA-8EED063C4823}">
      <dgm:prSet/>
      <dgm:spPr/>
      <dgm:t>
        <a:bodyPr/>
        <a:lstStyle/>
        <a:p>
          <a:endParaRPr lang="en-US"/>
        </a:p>
      </dgm:t>
    </dgm:pt>
    <dgm:pt modelId="{7FCAA7E4-1EBF-4B9C-9AE7-8F57807BB01F}" type="sibTrans" cxnId="{59324656-F154-4477-A7AA-8EED063C4823}">
      <dgm:prSet/>
      <dgm:spPr/>
      <dgm:t>
        <a:bodyPr/>
        <a:lstStyle/>
        <a:p>
          <a:endParaRPr lang="en-US"/>
        </a:p>
      </dgm:t>
    </dgm:pt>
    <dgm:pt modelId="{BB921BA8-B8EB-4CC9-B982-08C83ACA1689}">
      <dgm:prSet/>
      <dgm:spPr/>
      <dgm:t>
        <a:bodyPr/>
        <a:lstStyle/>
        <a:p>
          <a:r>
            <a:rPr lang="en-US" b="1"/>
            <a:t>Specific behaviors, examples, and circumstances.</a:t>
          </a:r>
        </a:p>
      </dgm:t>
    </dgm:pt>
    <dgm:pt modelId="{BF90D095-4D49-4928-8C01-13994C7B776E}" type="parTrans" cxnId="{56D1AB5C-8E0A-4901-A04E-CEB2B3678784}">
      <dgm:prSet/>
      <dgm:spPr/>
      <dgm:t>
        <a:bodyPr/>
        <a:lstStyle/>
        <a:p>
          <a:endParaRPr lang="en-US"/>
        </a:p>
      </dgm:t>
    </dgm:pt>
    <dgm:pt modelId="{3FFE3D39-E273-4E63-96DA-8BFD913CF8D2}" type="sibTrans" cxnId="{56D1AB5C-8E0A-4901-A04E-CEB2B3678784}">
      <dgm:prSet/>
      <dgm:spPr/>
      <dgm:t>
        <a:bodyPr/>
        <a:lstStyle/>
        <a:p>
          <a:endParaRPr lang="en-US"/>
        </a:p>
      </dgm:t>
    </dgm:pt>
    <dgm:pt modelId="{D4AA7909-74B9-43AF-96E8-87027C4CE9F2}">
      <dgm:prSet/>
      <dgm:spPr/>
      <dgm:t>
        <a:bodyPr/>
        <a:lstStyle/>
        <a:p>
          <a:r>
            <a:rPr lang="en-US" b="1"/>
            <a:t>Safe from reprisal.</a:t>
          </a:r>
        </a:p>
      </dgm:t>
    </dgm:pt>
    <dgm:pt modelId="{FC9DCFED-B251-41DF-B16F-4FCE61E33CF4}" type="parTrans" cxnId="{FCE48C0F-3ECD-4437-81C6-CE47C1444E34}">
      <dgm:prSet/>
      <dgm:spPr/>
      <dgm:t>
        <a:bodyPr/>
        <a:lstStyle/>
        <a:p>
          <a:endParaRPr lang="en-US"/>
        </a:p>
      </dgm:t>
    </dgm:pt>
    <dgm:pt modelId="{2FBB4354-CF7F-45E3-8DBE-4101DE95403E}" type="sibTrans" cxnId="{FCE48C0F-3ECD-4437-81C6-CE47C1444E34}">
      <dgm:prSet/>
      <dgm:spPr/>
      <dgm:t>
        <a:bodyPr/>
        <a:lstStyle/>
        <a:p>
          <a:endParaRPr lang="en-US"/>
        </a:p>
      </dgm:t>
    </dgm:pt>
    <dgm:pt modelId="{2E06715E-F3B3-42AA-8150-6EC08442735F}">
      <dgm:prSet/>
      <dgm:spPr/>
      <dgm:t>
        <a:bodyPr/>
        <a:lstStyle/>
        <a:p>
          <a:r>
            <a:rPr lang="en-US" b="1"/>
            <a:t>The consequences.</a:t>
          </a:r>
        </a:p>
      </dgm:t>
    </dgm:pt>
    <dgm:pt modelId="{F7842F14-AA77-47E5-AFBB-F021530B5AD0}" type="parTrans" cxnId="{71B458A3-D5BF-4581-B1E5-AB1DF0A46A34}">
      <dgm:prSet/>
      <dgm:spPr/>
      <dgm:t>
        <a:bodyPr/>
        <a:lstStyle/>
        <a:p>
          <a:endParaRPr lang="en-US"/>
        </a:p>
      </dgm:t>
    </dgm:pt>
    <dgm:pt modelId="{F9A9B622-6D4F-4FA5-9860-5B43D2DBCEDE}" type="sibTrans" cxnId="{71B458A3-D5BF-4581-B1E5-AB1DF0A46A34}">
      <dgm:prSet/>
      <dgm:spPr/>
      <dgm:t>
        <a:bodyPr/>
        <a:lstStyle/>
        <a:p>
          <a:endParaRPr lang="en-US"/>
        </a:p>
      </dgm:t>
    </dgm:pt>
    <dgm:pt modelId="{B826AB35-DFA1-465F-A1A2-6811D55AD42A}">
      <dgm:prSet/>
      <dgm:spPr/>
      <dgm:t>
        <a:bodyPr/>
        <a:lstStyle/>
        <a:p>
          <a:r>
            <a:rPr lang="en-US" b="1"/>
            <a:t>A complainant’s rights.</a:t>
          </a:r>
        </a:p>
      </dgm:t>
    </dgm:pt>
    <dgm:pt modelId="{25340216-C969-4D3A-B7C6-58E3112288AA}" type="parTrans" cxnId="{4AAA7B2E-1D2D-44E1-88B9-92788C7D3BF2}">
      <dgm:prSet/>
      <dgm:spPr/>
      <dgm:t>
        <a:bodyPr/>
        <a:lstStyle/>
        <a:p>
          <a:endParaRPr lang="en-US"/>
        </a:p>
      </dgm:t>
    </dgm:pt>
    <dgm:pt modelId="{1A6C9C87-284A-4871-9856-53AC3484D19F}" type="sibTrans" cxnId="{4AAA7B2E-1D2D-44E1-88B9-92788C7D3BF2}">
      <dgm:prSet/>
      <dgm:spPr/>
      <dgm:t>
        <a:bodyPr/>
        <a:lstStyle/>
        <a:p>
          <a:endParaRPr lang="en-US"/>
        </a:p>
      </dgm:t>
    </dgm:pt>
    <dgm:pt modelId="{1D519DD6-D372-45DA-BC5A-A31071FAD2F5}" type="pres">
      <dgm:prSet presAssocID="{34112E59-E3B2-4AC2-835B-5B7F4152FFE6}" presName="Name0" presStyleCnt="0">
        <dgm:presLayoutVars>
          <dgm:chMax val="7"/>
          <dgm:chPref val="7"/>
          <dgm:dir/>
        </dgm:presLayoutVars>
      </dgm:prSet>
      <dgm:spPr/>
    </dgm:pt>
    <dgm:pt modelId="{6774E17C-7568-49B0-8F4B-3137956CF43D}" type="pres">
      <dgm:prSet presAssocID="{34112E59-E3B2-4AC2-835B-5B7F4152FFE6}" presName="Name1" presStyleCnt="0"/>
      <dgm:spPr/>
    </dgm:pt>
    <dgm:pt modelId="{CA9050DB-9E3C-4D12-9B41-C3A18016D5A4}" type="pres">
      <dgm:prSet presAssocID="{34112E59-E3B2-4AC2-835B-5B7F4152FFE6}" presName="cycle" presStyleCnt="0"/>
      <dgm:spPr/>
    </dgm:pt>
    <dgm:pt modelId="{97DC6F7E-E873-4468-BDF0-23E84826F32E}" type="pres">
      <dgm:prSet presAssocID="{34112E59-E3B2-4AC2-835B-5B7F4152FFE6}" presName="srcNode" presStyleLbl="node1" presStyleIdx="0" presStyleCnt="5"/>
      <dgm:spPr/>
    </dgm:pt>
    <dgm:pt modelId="{A7A2EF58-E783-489C-983F-F637E461F911}" type="pres">
      <dgm:prSet presAssocID="{34112E59-E3B2-4AC2-835B-5B7F4152FFE6}" presName="conn" presStyleLbl="parChTrans1D2" presStyleIdx="0" presStyleCnt="1"/>
      <dgm:spPr/>
    </dgm:pt>
    <dgm:pt modelId="{0B8AD18D-4D98-450C-AA43-D8C103C08212}" type="pres">
      <dgm:prSet presAssocID="{34112E59-E3B2-4AC2-835B-5B7F4152FFE6}" presName="extraNode" presStyleLbl="node1" presStyleIdx="0" presStyleCnt="5"/>
      <dgm:spPr/>
    </dgm:pt>
    <dgm:pt modelId="{01CBC8BC-ED20-49CB-B6E8-1C8BD75432A6}" type="pres">
      <dgm:prSet presAssocID="{34112E59-E3B2-4AC2-835B-5B7F4152FFE6}" presName="dstNode" presStyleLbl="node1" presStyleIdx="0" presStyleCnt="5"/>
      <dgm:spPr/>
    </dgm:pt>
    <dgm:pt modelId="{151BBA3C-DA12-445C-A7AB-35A2E1D9F7AE}" type="pres">
      <dgm:prSet presAssocID="{AE0AAC00-6D90-4455-BF92-D24C3DD7AC0D}" presName="text_1" presStyleLbl="node1" presStyleIdx="0" presStyleCnt="5">
        <dgm:presLayoutVars>
          <dgm:bulletEnabled val="1"/>
        </dgm:presLayoutVars>
      </dgm:prSet>
      <dgm:spPr/>
    </dgm:pt>
    <dgm:pt modelId="{45749419-8BE0-4E70-B529-B003864FB320}" type="pres">
      <dgm:prSet presAssocID="{AE0AAC00-6D90-4455-BF92-D24C3DD7AC0D}" presName="accent_1" presStyleCnt="0"/>
      <dgm:spPr/>
    </dgm:pt>
    <dgm:pt modelId="{8874B166-5681-48E3-8980-2F7D52D09B11}" type="pres">
      <dgm:prSet presAssocID="{AE0AAC00-6D90-4455-BF92-D24C3DD7AC0D}" presName="accentRepeatNode" presStyleLbl="solidFgAcc1" presStyleIdx="0" presStyleCnt="5"/>
      <dgm:spPr/>
    </dgm:pt>
    <dgm:pt modelId="{DC0C95B5-79C0-49D4-BBF3-A5CCB26CB147}" type="pres">
      <dgm:prSet presAssocID="{BB921BA8-B8EB-4CC9-B982-08C83ACA1689}" presName="text_2" presStyleLbl="node1" presStyleIdx="1" presStyleCnt="5">
        <dgm:presLayoutVars>
          <dgm:bulletEnabled val="1"/>
        </dgm:presLayoutVars>
      </dgm:prSet>
      <dgm:spPr/>
    </dgm:pt>
    <dgm:pt modelId="{26D88D98-AD73-4A8B-86EF-A4FBD9970D74}" type="pres">
      <dgm:prSet presAssocID="{BB921BA8-B8EB-4CC9-B982-08C83ACA1689}" presName="accent_2" presStyleCnt="0"/>
      <dgm:spPr/>
    </dgm:pt>
    <dgm:pt modelId="{200F8AEE-C154-4044-BC02-00CF082A148F}" type="pres">
      <dgm:prSet presAssocID="{BB921BA8-B8EB-4CC9-B982-08C83ACA1689}" presName="accentRepeatNode" presStyleLbl="solidFgAcc1" presStyleIdx="1" presStyleCnt="5"/>
      <dgm:spPr/>
    </dgm:pt>
    <dgm:pt modelId="{0FBA7975-E60D-4DD5-9356-16AF404B0DDD}" type="pres">
      <dgm:prSet presAssocID="{D4AA7909-74B9-43AF-96E8-87027C4CE9F2}" presName="text_3" presStyleLbl="node1" presStyleIdx="2" presStyleCnt="5">
        <dgm:presLayoutVars>
          <dgm:bulletEnabled val="1"/>
        </dgm:presLayoutVars>
      </dgm:prSet>
      <dgm:spPr/>
    </dgm:pt>
    <dgm:pt modelId="{04CA9175-B752-4B17-814D-9E9F48EB86B1}" type="pres">
      <dgm:prSet presAssocID="{D4AA7909-74B9-43AF-96E8-87027C4CE9F2}" presName="accent_3" presStyleCnt="0"/>
      <dgm:spPr/>
    </dgm:pt>
    <dgm:pt modelId="{0153CE88-4FAE-42BA-A34E-5FF35770CFA4}" type="pres">
      <dgm:prSet presAssocID="{D4AA7909-74B9-43AF-96E8-87027C4CE9F2}" presName="accentRepeatNode" presStyleLbl="solidFgAcc1" presStyleIdx="2" presStyleCnt="5"/>
      <dgm:spPr/>
    </dgm:pt>
    <dgm:pt modelId="{7F61FFC6-EC5C-459D-B7E1-37A55C0E4740}" type="pres">
      <dgm:prSet presAssocID="{2E06715E-F3B3-42AA-8150-6EC08442735F}" presName="text_4" presStyleLbl="node1" presStyleIdx="3" presStyleCnt="5">
        <dgm:presLayoutVars>
          <dgm:bulletEnabled val="1"/>
        </dgm:presLayoutVars>
      </dgm:prSet>
      <dgm:spPr/>
    </dgm:pt>
    <dgm:pt modelId="{A045B687-885D-4CCE-BF19-4D1B18064905}" type="pres">
      <dgm:prSet presAssocID="{2E06715E-F3B3-42AA-8150-6EC08442735F}" presName="accent_4" presStyleCnt="0"/>
      <dgm:spPr/>
    </dgm:pt>
    <dgm:pt modelId="{43857AB8-DCFD-414A-BE31-62108224F443}" type="pres">
      <dgm:prSet presAssocID="{2E06715E-F3B3-42AA-8150-6EC08442735F}" presName="accentRepeatNode" presStyleLbl="solidFgAcc1" presStyleIdx="3" presStyleCnt="5"/>
      <dgm:spPr/>
    </dgm:pt>
    <dgm:pt modelId="{81819549-C4FD-47DC-9A44-9F6AB169AB48}" type="pres">
      <dgm:prSet presAssocID="{B826AB35-DFA1-465F-A1A2-6811D55AD42A}" presName="text_5" presStyleLbl="node1" presStyleIdx="4" presStyleCnt="5">
        <dgm:presLayoutVars>
          <dgm:bulletEnabled val="1"/>
        </dgm:presLayoutVars>
      </dgm:prSet>
      <dgm:spPr/>
    </dgm:pt>
    <dgm:pt modelId="{B977518E-D0DF-4989-912C-79B8B921343B}" type="pres">
      <dgm:prSet presAssocID="{B826AB35-DFA1-465F-A1A2-6811D55AD42A}" presName="accent_5" presStyleCnt="0"/>
      <dgm:spPr/>
    </dgm:pt>
    <dgm:pt modelId="{A20713A9-58E6-4861-9A77-049A340FCB53}" type="pres">
      <dgm:prSet presAssocID="{B826AB35-DFA1-465F-A1A2-6811D55AD42A}" presName="accentRepeatNode" presStyleLbl="solidFgAcc1" presStyleIdx="4" presStyleCnt="5"/>
      <dgm:spPr/>
    </dgm:pt>
  </dgm:ptLst>
  <dgm:cxnLst>
    <dgm:cxn modelId="{D355300C-AE17-428F-90A8-7FD2445A9FD1}" type="presOf" srcId="{AE0AAC00-6D90-4455-BF92-D24C3DD7AC0D}" destId="{151BBA3C-DA12-445C-A7AB-35A2E1D9F7AE}" srcOrd="0" destOrd="0" presId="urn:microsoft.com/office/officeart/2008/layout/VerticalCurvedList"/>
    <dgm:cxn modelId="{FCE48C0F-3ECD-4437-81C6-CE47C1444E34}" srcId="{34112E59-E3B2-4AC2-835B-5B7F4152FFE6}" destId="{D4AA7909-74B9-43AF-96E8-87027C4CE9F2}" srcOrd="2" destOrd="0" parTransId="{FC9DCFED-B251-41DF-B16F-4FCE61E33CF4}" sibTransId="{2FBB4354-CF7F-45E3-8DBE-4101DE95403E}"/>
    <dgm:cxn modelId="{AF028514-FFE1-4670-9205-AB0F5464E879}" type="presOf" srcId="{B826AB35-DFA1-465F-A1A2-6811D55AD42A}" destId="{81819549-C4FD-47DC-9A44-9F6AB169AB48}" srcOrd="0" destOrd="0" presId="urn:microsoft.com/office/officeart/2008/layout/VerticalCurvedList"/>
    <dgm:cxn modelId="{4F718026-97C3-4AAF-9ACC-335E1A1295CB}" type="presOf" srcId="{BB921BA8-B8EB-4CC9-B982-08C83ACA1689}" destId="{DC0C95B5-79C0-49D4-BBF3-A5CCB26CB147}" srcOrd="0" destOrd="0" presId="urn:microsoft.com/office/officeart/2008/layout/VerticalCurvedList"/>
    <dgm:cxn modelId="{4AAA7B2E-1D2D-44E1-88B9-92788C7D3BF2}" srcId="{34112E59-E3B2-4AC2-835B-5B7F4152FFE6}" destId="{B826AB35-DFA1-465F-A1A2-6811D55AD42A}" srcOrd="4" destOrd="0" parTransId="{25340216-C969-4D3A-B7C6-58E3112288AA}" sibTransId="{1A6C9C87-284A-4871-9856-53AC3484D19F}"/>
    <dgm:cxn modelId="{56D1AB5C-8E0A-4901-A04E-CEB2B3678784}" srcId="{34112E59-E3B2-4AC2-835B-5B7F4152FFE6}" destId="{BB921BA8-B8EB-4CC9-B982-08C83ACA1689}" srcOrd="1" destOrd="0" parTransId="{BF90D095-4D49-4928-8C01-13994C7B776E}" sibTransId="{3FFE3D39-E273-4E63-96DA-8BFD913CF8D2}"/>
    <dgm:cxn modelId="{83F8A344-EBB7-481C-958B-8298C926412F}" type="presOf" srcId="{D4AA7909-74B9-43AF-96E8-87027C4CE9F2}" destId="{0FBA7975-E60D-4DD5-9356-16AF404B0DDD}" srcOrd="0" destOrd="0" presId="urn:microsoft.com/office/officeart/2008/layout/VerticalCurvedList"/>
    <dgm:cxn modelId="{59324656-F154-4477-A7AA-8EED063C4823}" srcId="{34112E59-E3B2-4AC2-835B-5B7F4152FFE6}" destId="{AE0AAC00-6D90-4455-BF92-D24C3DD7AC0D}" srcOrd="0" destOrd="0" parTransId="{E3EFB079-6F2A-421B-A731-B842584FA9A7}" sibTransId="{7FCAA7E4-1EBF-4B9C-9AE7-8F57807BB01F}"/>
    <dgm:cxn modelId="{71B458A3-D5BF-4581-B1E5-AB1DF0A46A34}" srcId="{34112E59-E3B2-4AC2-835B-5B7F4152FFE6}" destId="{2E06715E-F3B3-42AA-8150-6EC08442735F}" srcOrd="3" destOrd="0" parTransId="{F7842F14-AA77-47E5-AFBB-F021530B5AD0}" sibTransId="{F9A9B622-6D4F-4FA5-9860-5B43D2DBCEDE}"/>
    <dgm:cxn modelId="{F7866CD8-F85E-4392-A017-5419FC84AAF8}" type="presOf" srcId="{34112E59-E3B2-4AC2-835B-5B7F4152FFE6}" destId="{1D519DD6-D372-45DA-BC5A-A31071FAD2F5}" srcOrd="0" destOrd="0" presId="urn:microsoft.com/office/officeart/2008/layout/VerticalCurvedList"/>
    <dgm:cxn modelId="{A4541EDC-BAC7-4F78-A85B-D10775A93449}" type="presOf" srcId="{7FCAA7E4-1EBF-4B9C-9AE7-8F57807BB01F}" destId="{A7A2EF58-E783-489C-983F-F637E461F911}" srcOrd="0" destOrd="0" presId="urn:microsoft.com/office/officeart/2008/layout/VerticalCurvedList"/>
    <dgm:cxn modelId="{CFF6D6DC-7913-4CAD-9A16-75CF3E95287C}" type="presOf" srcId="{2E06715E-F3B3-42AA-8150-6EC08442735F}" destId="{7F61FFC6-EC5C-459D-B7E1-37A55C0E4740}" srcOrd="0" destOrd="0" presId="urn:microsoft.com/office/officeart/2008/layout/VerticalCurvedList"/>
    <dgm:cxn modelId="{C40BFF35-9059-4626-9A72-EC7FB20FAA7E}" type="presParOf" srcId="{1D519DD6-D372-45DA-BC5A-A31071FAD2F5}" destId="{6774E17C-7568-49B0-8F4B-3137956CF43D}" srcOrd="0" destOrd="0" presId="urn:microsoft.com/office/officeart/2008/layout/VerticalCurvedList"/>
    <dgm:cxn modelId="{D0DED1EE-B7D4-4B10-966A-997337639491}" type="presParOf" srcId="{6774E17C-7568-49B0-8F4B-3137956CF43D}" destId="{CA9050DB-9E3C-4D12-9B41-C3A18016D5A4}" srcOrd="0" destOrd="0" presId="urn:microsoft.com/office/officeart/2008/layout/VerticalCurvedList"/>
    <dgm:cxn modelId="{9D35BE60-96CA-4389-910A-D4DBA73CB1E8}" type="presParOf" srcId="{CA9050DB-9E3C-4D12-9B41-C3A18016D5A4}" destId="{97DC6F7E-E873-4468-BDF0-23E84826F32E}" srcOrd="0" destOrd="0" presId="urn:microsoft.com/office/officeart/2008/layout/VerticalCurvedList"/>
    <dgm:cxn modelId="{B6D06D4E-761C-4772-85EC-C7F0D8F8F591}" type="presParOf" srcId="{CA9050DB-9E3C-4D12-9B41-C3A18016D5A4}" destId="{A7A2EF58-E783-489C-983F-F637E461F911}" srcOrd="1" destOrd="0" presId="urn:microsoft.com/office/officeart/2008/layout/VerticalCurvedList"/>
    <dgm:cxn modelId="{560C73D5-2415-4DB8-BB52-7C71FD3045B2}" type="presParOf" srcId="{CA9050DB-9E3C-4D12-9B41-C3A18016D5A4}" destId="{0B8AD18D-4D98-450C-AA43-D8C103C08212}" srcOrd="2" destOrd="0" presId="urn:microsoft.com/office/officeart/2008/layout/VerticalCurvedList"/>
    <dgm:cxn modelId="{BD7E16F9-37E1-44B7-86DD-6C7906A5BBDC}" type="presParOf" srcId="{CA9050DB-9E3C-4D12-9B41-C3A18016D5A4}" destId="{01CBC8BC-ED20-49CB-B6E8-1C8BD75432A6}" srcOrd="3" destOrd="0" presId="urn:microsoft.com/office/officeart/2008/layout/VerticalCurvedList"/>
    <dgm:cxn modelId="{E8949C49-68FC-496B-95C2-4E7F5E4A9873}" type="presParOf" srcId="{6774E17C-7568-49B0-8F4B-3137956CF43D}" destId="{151BBA3C-DA12-445C-A7AB-35A2E1D9F7AE}" srcOrd="1" destOrd="0" presId="urn:microsoft.com/office/officeart/2008/layout/VerticalCurvedList"/>
    <dgm:cxn modelId="{C134FCA9-F1AD-4980-ACFB-7DE66623591B}" type="presParOf" srcId="{6774E17C-7568-49B0-8F4B-3137956CF43D}" destId="{45749419-8BE0-4E70-B529-B003864FB320}" srcOrd="2" destOrd="0" presId="urn:microsoft.com/office/officeart/2008/layout/VerticalCurvedList"/>
    <dgm:cxn modelId="{9C0DC350-459D-4391-BD58-18C0177216C4}" type="presParOf" srcId="{45749419-8BE0-4E70-B529-B003864FB320}" destId="{8874B166-5681-48E3-8980-2F7D52D09B11}" srcOrd="0" destOrd="0" presId="urn:microsoft.com/office/officeart/2008/layout/VerticalCurvedList"/>
    <dgm:cxn modelId="{F12406C6-9461-4F2D-9046-4C7338A0E4F1}" type="presParOf" srcId="{6774E17C-7568-49B0-8F4B-3137956CF43D}" destId="{DC0C95B5-79C0-49D4-BBF3-A5CCB26CB147}" srcOrd="3" destOrd="0" presId="urn:microsoft.com/office/officeart/2008/layout/VerticalCurvedList"/>
    <dgm:cxn modelId="{A162E551-2F27-4BF8-9CA4-2C0BD894CF57}" type="presParOf" srcId="{6774E17C-7568-49B0-8F4B-3137956CF43D}" destId="{26D88D98-AD73-4A8B-86EF-A4FBD9970D74}" srcOrd="4" destOrd="0" presId="urn:microsoft.com/office/officeart/2008/layout/VerticalCurvedList"/>
    <dgm:cxn modelId="{5F501CD8-3E17-44A4-8C6D-47FDAE3A0B86}" type="presParOf" srcId="{26D88D98-AD73-4A8B-86EF-A4FBD9970D74}" destId="{200F8AEE-C154-4044-BC02-00CF082A148F}" srcOrd="0" destOrd="0" presId="urn:microsoft.com/office/officeart/2008/layout/VerticalCurvedList"/>
    <dgm:cxn modelId="{2209970D-7844-4592-A19E-46EDDFACA738}" type="presParOf" srcId="{6774E17C-7568-49B0-8F4B-3137956CF43D}" destId="{0FBA7975-E60D-4DD5-9356-16AF404B0DDD}" srcOrd="5" destOrd="0" presId="urn:microsoft.com/office/officeart/2008/layout/VerticalCurvedList"/>
    <dgm:cxn modelId="{5FB250E7-D951-41CD-A807-A9A88163B5F2}" type="presParOf" srcId="{6774E17C-7568-49B0-8F4B-3137956CF43D}" destId="{04CA9175-B752-4B17-814D-9E9F48EB86B1}" srcOrd="6" destOrd="0" presId="urn:microsoft.com/office/officeart/2008/layout/VerticalCurvedList"/>
    <dgm:cxn modelId="{71F63619-7A7F-41A7-82FE-A3B76165C11E}" type="presParOf" srcId="{04CA9175-B752-4B17-814D-9E9F48EB86B1}" destId="{0153CE88-4FAE-42BA-A34E-5FF35770CFA4}" srcOrd="0" destOrd="0" presId="urn:microsoft.com/office/officeart/2008/layout/VerticalCurvedList"/>
    <dgm:cxn modelId="{7BAFB383-C361-4B2D-BC16-ECE0CA826831}" type="presParOf" srcId="{6774E17C-7568-49B0-8F4B-3137956CF43D}" destId="{7F61FFC6-EC5C-459D-B7E1-37A55C0E4740}" srcOrd="7" destOrd="0" presId="urn:microsoft.com/office/officeart/2008/layout/VerticalCurvedList"/>
    <dgm:cxn modelId="{1767EAC8-71CC-4A06-AEA6-2EF281AAE04C}" type="presParOf" srcId="{6774E17C-7568-49B0-8F4B-3137956CF43D}" destId="{A045B687-885D-4CCE-BF19-4D1B18064905}" srcOrd="8" destOrd="0" presId="urn:microsoft.com/office/officeart/2008/layout/VerticalCurvedList"/>
    <dgm:cxn modelId="{BFB55F34-93DD-442B-987B-1D33F3547280}" type="presParOf" srcId="{A045B687-885D-4CCE-BF19-4D1B18064905}" destId="{43857AB8-DCFD-414A-BE31-62108224F443}" srcOrd="0" destOrd="0" presId="urn:microsoft.com/office/officeart/2008/layout/VerticalCurvedList"/>
    <dgm:cxn modelId="{819BAF48-B83C-43F9-ABB9-A0CD45F62D80}" type="presParOf" srcId="{6774E17C-7568-49B0-8F4B-3137956CF43D}" destId="{81819549-C4FD-47DC-9A44-9F6AB169AB48}" srcOrd="9" destOrd="0" presId="urn:microsoft.com/office/officeart/2008/layout/VerticalCurvedList"/>
    <dgm:cxn modelId="{D8D371F1-88FC-46E9-97CA-EC79A14685D7}" type="presParOf" srcId="{6774E17C-7568-49B0-8F4B-3137956CF43D}" destId="{B977518E-D0DF-4989-912C-79B8B921343B}" srcOrd="10" destOrd="0" presId="urn:microsoft.com/office/officeart/2008/layout/VerticalCurvedList"/>
    <dgm:cxn modelId="{992CD352-56B3-4278-A2DD-E8D01BCEDAA2}" type="presParOf" srcId="{B977518E-D0DF-4989-912C-79B8B921343B}" destId="{A20713A9-58E6-4861-9A77-049A340FCB53}" srcOrd="0" destOrd="0" presId="urn:microsoft.com/office/officeart/2008/layout/VerticalCurvedList"/>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7A2EF58-E783-489C-983F-F637E461F911}">
      <dsp:nvSpPr>
        <dsp:cNvPr id="0" name=""/>
        <dsp:cNvSpPr/>
      </dsp:nvSpPr>
      <dsp:spPr>
        <a:xfrm>
          <a:off x="-3617274" y="-555868"/>
          <a:ext cx="4312137" cy="4312137"/>
        </a:xfrm>
        <a:prstGeom prst="blockArc">
          <a:avLst>
            <a:gd name="adj1" fmla="val 18900000"/>
            <a:gd name="adj2" fmla="val 2700000"/>
            <a:gd name="adj3" fmla="val 501"/>
          </a:avLst>
        </a:prstGeom>
        <a:noFill/>
        <a:ln w="15875"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1BBA3C-DA12-445C-A7AB-35A2E1D9F7AE}">
      <dsp:nvSpPr>
        <dsp:cNvPr id="0" name=""/>
        <dsp:cNvSpPr/>
      </dsp:nvSpPr>
      <dsp:spPr>
        <a:xfrm>
          <a:off x="304736" y="199960"/>
          <a:ext cx="5140116" cy="400178"/>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641" tIns="40640" rIns="40640" bIns="40640" numCol="1" spcCol="1270" anchor="ctr" anchorCtr="0">
          <a:noAutofit/>
        </a:bodyPr>
        <a:lstStyle/>
        <a:p>
          <a:pPr marL="0" lvl="0" indent="0" algn="l" defTabSz="711200">
            <a:lnSpc>
              <a:spcPct val="90000"/>
            </a:lnSpc>
            <a:spcBef>
              <a:spcPct val="0"/>
            </a:spcBef>
            <a:spcAft>
              <a:spcPct val="35000"/>
            </a:spcAft>
            <a:buNone/>
          </a:pPr>
          <a:r>
            <a:rPr lang="en-US" sz="1600" b="1" kern="1200"/>
            <a:t>The rules. </a:t>
          </a:r>
          <a:endParaRPr lang="en-US" sz="1600" kern="1200"/>
        </a:p>
      </dsp:txBody>
      <dsp:txXfrm>
        <a:off x="304736" y="199960"/>
        <a:ext cx="5140116" cy="400178"/>
      </dsp:txXfrm>
    </dsp:sp>
    <dsp:sp modelId="{8874B166-5681-48E3-8980-2F7D52D09B11}">
      <dsp:nvSpPr>
        <dsp:cNvPr id="0" name=""/>
        <dsp:cNvSpPr/>
      </dsp:nvSpPr>
      <dsp:spPr>
        <a:xfrm>
          <a:off x="54625" y="149938"/>
          <a:ext cx="500222" cy="500222"/>
        </a:xfrm>
        <a:prstGeom prst="ellipse">
          <a:avLst/>
        </a:prstGeom>
        <a:solidFill>
          <a:schemeClr val="lt1">
            <a:hueOff val="0"/>
            <a:satOff val="0"/>
            <a:lumOff val="0"/>
            <a:alphaOff val="0"/>
          </a:schemeClr>
        </a:solidFill>
        <a:ln w="15875"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DC0C95B5-79C0-49D4-BBF3-A5CCB26CB147}">
      <dsp:nvSpPr>
        <dsp:cNvPr id="0" name=""/>
        <dsp:cNvSpPr/>
      </dsp:nvSpPr>
      <dsp:spPr>
        <a:xfrm>
          <a:off x="591492" y="800035"/>
          <a:ext cx="4853360" cy="400178"/>
        </a:xfrm>
        <a:prstGeom prst="rect">
          <a:avLst/>
        </a:prstGeom>
        <a:solidFill>
          <a:schemeClr val="accent2">
            <a:hueOff val="840789"/>
            <a:satOff val="-893"/>
            <a:lumOff val="686"/>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641" tIns="40640" rIns="40640" bIns="40640" numCol="1" spcCol="1270" anchor="ctr" anchorCtr="0">
          <a:noAutofit/>
        </a:bodyPr>
        <a:lstStyle/>
        <a:p>
          <a:pPr marL="0" lvl="0" indent="0" algn="l" defTabSz="711200">
            <a:lnSpc>
              <a:spcPct val="90000"/>
            </a:lnSpc>
            <a:spcBef>
              <a:spcPct val="0"/>
            </a:spcBef>
            <a:spcAft>
              <a:spcPct val="35000"/>
            </a:spcAft>
            <a:buNone/>
          </a:pPr>
          <a:r>
            <a:rPr lang="en-US" sz="1600" b="1" kern="1200"/>
            <a:t>Specific behaviors, examples, and circumstances.</a:t>
          </a:r>
        </a:p>
      </dsp:txBody>
      <dsp:txXfrm>
        <a:off x="591492" y="800035"/>
        <a:ext cx="4853360" cy="400178"/>
      </dsp:txXfrm>
    </dsp:sp>
    <dsp:sp modelId="{200F8AEE-C154-4044-BC02-00CF082A148F}">
      <dsp:nvSpPr>
        <dsp:cNvPr id="0" name=""/>
        <dsp:cNvSpPr/>
      </dsp:nvSpPr>
      <dsp:spPr>
        <a:xfrm>
          <a:off x="341380" y="750013"/>
          <a:ext cx="500222" cy="500222"/>
        </a:xfrm>
        <a:prstGeom prst="ellipse">
          <a:avLst/>
        </a:prstGeom>
        <a:solidFill>
          <a:schemeClr val="lt1">
            <a:hueOff val="0"/>
            <a:satOff val="0"/>
            <a:lumOff val="0"/>
            <a:alphaOff val="0"/>
          </a:schemeClr>
        </a:solidFill>
        <a:ln w="15875" cap="flat" cmpd="sng" algn="ctr">
          <a:solidFill>
            <a:schemeClr val="accent2">
              <a:hueOff val="840789"/>
              <a:satOff val="-893"/>
              <a:lumOff val="686"/>
              <a:alphaOff val="0"/>
            </a:schemeClr>
          </a:solidFill>
          <a:prstDash val="solid"/>
        </a:ln>
        <a:effectLst/>
      </dsp:spPr>
      <dsp:style>
        <a:lnRef idx="2">
          <a:scrgbClr r="0" g="0" b="0"/>
        </a:lnRef>
        <a:fillRef idx="1">
          <a:scrgbClr r="0" g="0" b="0"/>
        </a:fillRef>
        <a:effectRef idx="0">
          <a:scrgbClr r="0" g="0" b="0"/>
        </a:effectRef>
        <a:fontRef idx="minor"/>
      </dsp:style>
    </dsp:sp>
    <dsp:sp modelId="{0FBA7975-E60D-4DD5-9356-16AF404B0DDD}">
      <dsp:nvSpPr>
        <dsp:cNvPr id="0" name=""/>
        <dsp:cNvSpPr/>
      </dsp:nvSpPr>
      <dsp:spPr>
        <a:xfrm>
          <a:off x="679503" y="1400110"/>
          <a:ext cx="4765349" cy="400178"/>
        </a:xfrm>
        <a:prstGeom prst="rect">
          <a:avLst/>
        </a:prstGeom>
        <a:solidFill>
          <a:schemeClr val="accent2">
            <a:hueOff val="1681577"/>
            <a:satOff val="-1786"/>
            <a:lumOff val="1372"/>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641" tIns="40640" rIns="40640" bIns="40640" numCol="1" spcCol="1270" anchor="ctr" anchorCtr="0">
          <a:noAutofit/>
        </a:bodyPr>
        <a:lstStyle/>
        <a:p>
          <a:pPr marL="0" lvl="0" indent="0" algn="l" defTabSz="711200">
            <a:lnSpc>
              <a:spcPct val="90000"/>
            </a:lnSpc>
            <a:spcBef>
              <a:spcPct val="0"/>
            </a:spcBef>
            <a:spcAft>
              <a:spcPct val="35000"/>
            </a:spcAft>
            <a:buNone/>
          </a:pPr>
          <a:r>
            <a:rPr lang="en-US" sz="1600" b="1" kern="1200"/>
            <a:t>Safe from reprisal.</a:t>
          </a:r>
        </a:p>
      </dsp:txBody>
      <dsp:txXfrm>
        <a:off x="679503" y="1400110"/>
        <a:ext cx="4765349" cy="400178"/>
      </dsp:txXfrm>
    </dsp:sp>
    <dsp:sp modelId="{0153CE88-4FAE-42BA-A34E-5FF35770CFA4}">
      <dsp:nvSpPr>
        <dsp:cNvPr id="0" name=""/>
        <dsp:cNvSpPr/>
      </dsp:nvSpPr>
      <dsp:spPr>
        <a:xfrm>
          <a:off x="429391" y="1350088"/>
          <a:ext cx="500222" cy="500222"/>
        </a:xfrm>
        <a:prstGeom prst="ellipse">
          <a:avLst/>
        </a:prstGeom>
        <a:solidFill>
          <a:schemeClr val="lt1">
            <a:hueOff val="0"/>
            <a:satOff val="0"/>
            <a:lumOff val="0"/>
            <a:alphaOff val="0"/>
          </a:schemeClr>
        </a:solidFill>
        <a:ln w="15875" cap="flat" cmpd="sng" algn="ctr">
          <a:solidFill>
            <a:schemeClr val="accent2">
              <a:hueOff val="1681577"/>
              <a:satOff val="-1786"/>
              <a:lumOff val="1372"/>
              <a:alphaOff val="0"/>
            </a:schemeClr>
          </a:solidFill>
          <a:prstDash val="solid"/>
        </a:ln>
        <a:effectLst/>
      </dsp:spPr>
      <dsp:style>
        <a:lnRef idx="2">
          <a:scrgbClr r="0" g="0" b="0"/>
        </a:lnRef>
        <a:fillRef idx="1">
          <a:scrgbClr r="0" g="0" b="0"/>
        </a:fillRef>
        <a:effectRef idx="0">
          <a:scrgbClr r="0" g="0" b="0"/>
        </a:effectRef>
        <a:fontRef idx="minor"/>
      </dsp:style>
    </dsp:sp>
    <dsp:sp modelId="{7F61FFC6-EC5C-459D-B7E1-37A55C0E4740}">
      <dsp:nvSpPr>
        <dsp:cNvPr id="0" name=""/>
        <dsp:cNvSpPr/>
      </dsp:nvSpPr>
      <dsp:spPr>
        <a:xfrm>
          <a:off x="591492" y="2000185"/>
          <a:ext cx="4853360" cy="400178"/>
        </a:xfrm>
        <a:prstGeom prst="rect">
          <a:avLst/>
        </a:prstGeom>
        <a:solidFill>
          <a:schemeClr val="accent2">
            <a:hueOff val="2522366"/>
            <a:satOff val="-2679"/>
            <a:lumOff val="2059"/>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641" tIns="40640" rIns="40640" bIns="40640" numCol="1" spcCol="1270" anchor="ctr" anchorCtr="0">
          <a:noAutofit/>
        </a:bodyPr>
        <a:lstStyle/>
        <a:p>
          <a:pPr marL="0" lvl="0" indent="0" algn="l" defTabSz="711200">
            <a:lnSpc>
              <a:spcPct val="90000"/>
            </a:lnSpc>
            <a:spcBef>
              <a:spcPct val="0"/>
            </a:spcBef>
            <a:spcAft>
              <a:spcPct val="35000"/>
            </a:spcAft>
            <a:buNone/>
          </a:pPr>
          <a:r>
            <a:rPr lang="en-US" sz="1600" b="1" kern="1200"/>
            <a:t>The consequences.</a:t>
          </a:r>
        </a:p>
      </dsp:txBody>
      <dsp:txXfrm>
        <a:off x="591492" y="2000185"/>
        <a:ext cx="4853360" cy="400178"/>
      </dsp:txXfrm>
    </dsp:sp>
    <dsp:sp modelId="{43857AB8-DCFD-414A-BE31-62108224F443}">
      <dsp:nvSpPr>
        <dsp:cNvPr id="0" name=""/>
        <dsp:cNvSpPr/>
      </dsp:nvSpPr>
      <dsp:spPr>
        <a:xfrm>
          <a:off x="341380" y="1950163"/>
          <a:ext cx="500222" cy="500222"/>
        </a:xfrm>
        <a:prstGeom prst="ellipse">
          <a:avLst/>
        </a:prstGeom>
        <a:solidFill>
          <a:schemeClr val="lt1">
            <a:hueOff val="0"/>
            <a:satOff val="0"/>
            <a:lumOff val="0"/>
            <a:alphaOff val="0"/>
          </a:schemeClr>
        </a:solidFill>
        <a:ln w="15875" cap="flat" cmpd="sng" algn="ctr">
          <a:solidFill>
            <a:schemeClr val="accent2">
              <a:hueOff val="2522366"/>
              <a:satOff val="-2679"/>
              <a:lumOff val="2059"/>
              <a:alphaOff val="0"/>
            </a:schemeClr>
          </a:solidFill>
          <a:prstDash val="solid"/>
        </a:ln>
        <a:effectLst/>
      </dsp:spPr>
      <dsp:style>
        <a:lnRef idx="2">
          <a:scrgbClr r="0" g="0" b="0"/>
        </a:lnRef>
        <a:fillRef idx="1">
          <a:scrgbClr r="0" g="0" b="0"/>
        </a:fillRef>
        <a:effectRef idx="0">
          <a:scrgbClr r="0" g="0" b="0"/>
        </a:effectRef>
        <a:fontRef idx="minor"/>
      </dsp:style>
    </dsp:sp>
    <dsp:sp modelId="{81819549-C4FD-47DC-9A44-9F6AB169AB48}">
      <dsp:nvSpPr>
        <dsp:cNvPr id="0" name=""/>
        <dsp:cNvSpPr/>
      </dsp:nvSpPr>
      <dsp:spPr>
        <a:xfrm>
          <a:off x="304736" y="2600260"/>
          <a:ext cx="5140116" cy="400178"/>
        </a:xfrm>
        <a:prstGeom prst="rect">
          <a:avLst/>
        </a:prstGeom>
        <a:solidFill>
          <a:schemeClr val="accent2">
            <a:hueOff val="3363155"/>
            <a:satOff val="-3572"/>
            <a:lumOff val="2745"/>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641" tIns="40640" rIns="40640" bIns="40640" numCol="1" spcCol="1270" anchor="ctr" anchorCtr="0">
          <a:noAutofit/>
        </a:bodyPr>
        <a:lstStyle/>
        <a:p>
          <a:pPr marL="0" lvl="0" indent="0" algn="l" defTabSz="711200">
            <a:lnSpc>
              <a:spcPct val="90000"/>
            </a:lnSpc>
            <a:spcBef>
              <a:spcPct val="0"/>
            </a:spcBef>
            <a:spcAft>
              <a:spcPct val="35000"/>
            </a:spcAft>
            <a:buNone/>
          </a:pPr>
          <a:r>
            <a:rPr lang="en-US" sz="1600" b="1" kern="1200"/>
            <a:t>A complainant’s rights.</a:t>
          </a:r>
        </a:p>
      </dsp:txBody>
      <dsp:txXfrm>
        <a:off x="304736" y="2600260"/>
        <a:ext cx="5140116" cy="400178"/>
      </dsp:txXfrm>
    </dsp:sp>
    <dsp:sp modelId="{A20713A9-58E6-4861-9A77-049A340FCB53}">
      <dsp:nvSpPr>
        <dsp:cNvPr id="0" name=""/>
        <dsp:cNvSpPr/>
      </dsp:nvSpPr>
      <dsp:spPr>
        <a:xfrm>
          <a:off x="54625" y="2550238"/>
          <a:ext cx="500222" cy="500222"/>
        </a:xfrm>
        <a:prstGeom prst="ellipse">
          <a:avLst/>
        </a:prstGeom>
        <a:solidFill>
          <a:schemeClr val="lt1">
            <a:hueOff val="0"/>
            <a:satOff val="0"/>
            <a:lumOff val="0"/>
            <a:alphaOff val="0"/>
          </a:schemeClr>
        </a:solidFill>
        <a:ln w="15875" cap="flat" cmpd="sng" algn="ctr">
          <a:solidFill>
            <a:schemeClr val="accent2">
              <a:hueOff val="3363155"/>
              <a:satOff val="-3572"/>
              <a:lumOff val="2745"/>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rganic">
  <a:themeElements>
    <a:clrScheme name="Organic">
      <a:dk1>
        <a:sysClr val="windowText" lastClr="000000"/>
      </a:dk1>
      <a:lt1>
        <a:sysClr val="window" lastClr="FFFFFF"/>
      </a:lt1>
      <a:dk2>
        <a:srgbClr val="212121"/>
      </a:dk2>
      <a:lt2>
        <a:srgbClr val="DADADA"/>
      </a:lt2>
      <a:accent1>
        <a:srgbClr val="83992A"/>
      </a:accent1>
      <a:accent2>
        <a:srgbClr val="3C9770"/>
      </a:accent2>
      <a:accent3>
        <a:srgbClr val="44709D"/>
      </a:accent3>
      <a:accent4>
        <a:srgbClr val="A23C33"/>
      </a:accent4>
      <a:accent5>
        <a:srgbClr val="D97828"/>
      </a:accent5>
      <a:accent6>
        <a:srgbClr val="DEB340"/>
      </a:accent6>
      <a:hlink>
        <a:srgbClr val="A8BF4D"/>
      </a:hlink>
      <a:folHlink>
        <a:srgbClr val="B4CA80"/>
      </a:folHlink>
    </a:clrScheme>
    <a:fontScheme name="Organic">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rganic">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8E8059A-5152-4022-887F-4960E6047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856</Words>
  <Characters>4883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Smith</dc:creator>
  <dcterms:created xsi:type="dcterms:W3CDTF">2020-06-03T16:17:00Z</dcterms:created>
  <dcterms:modified xsi:type="dcterms:W3CDTF">2020-06-03T16:17:00Z</dcterms:modified>
</cp:coreProperties>
</file>